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26/06/1950</w:t>
      </w:r>
    </w:p>
    <w:p/>
    <w:p>
      <w:r>
        <w:t xml:space="preserve">CONCURSO DE CREDORES — SIMULTANEIDADE - REQUERIMENTO PELO CREDOR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art. 2º, I, do Decreto-lei nº 7.661, de 21 de junho de 1945, caracteriza-se a falência se o comerciante, executado, não paga a dívida, nem oferece bens à execução, dentro do prazo legal. - É certo que a litispendência exclui possa o mesmo credor pedir simultaneamente a execução individual e o concurso de credores pela falência depois da execução promovida pelo primeiro. Julgado em 27-06-1950 Revista Forense. Março, 1951 - pág. 116. vol. CXXXIV, ano XLVIII. fasc. 573 EMENTÁRIO FORENSE. Setembro, 1951. Ano III. Nº 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mesmo credor pedir simultaneamente a execução individual e o concurso de credores pela falência. Não ocorre, porém, o caso, quando o segundo credor requer a falência depois da execução promovida pelo primeiro.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2026-07-28T00:22:43.936Z</dcterms:created>
  <dcterms:modified xsi:type="dcterms:W3CDTF">2026-07-28T00:22:43.936Z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