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Julgado em: </w:t>
      </w:r>
      <w:r>
        <w:t xml:space="preserve">26/06/1950</w:t>
      </w:r>
    </w:p>
    <w:p/>
    <w:p>
      <w:r>
        <w:t xml:space="preserve">CONCURSO DE CREDORES — SIMULTANEIDADE - REQUERIMENTO PELO CREDOR - INADMISSIBILIDADE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Pelo art. 2º, I, do Decreto-lei nº 7.661, de 21 de junho de 1945, caracteriza-se a falência se o comerciante, executado, não paga a dívida, nem oferece bens à execução, dentro do prazo legal. - É certo que a litispendência exclui possa o mesmo credor pedir simultaneamente a execução individual e o concurso de credores pela falência depois da execução promovida pelo primeiro. Julgado em 27-06-1950 Revista Forense. Março, 1951 - pág. 116. vol. CXXXIV, ano XLVIII. fasc. 573 EMENTÁRIO FORENSE. Setembro, 1951. Ano III. Nº 34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pode o mesmo credor pedir simultaneamente a execução individual e o concurso de credores pela falência. Não ocorre, porém, o caso, quando o segundo credor requer a falência depois da execução promovida pelo primeiro.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2026-10-26T04:37:35.372Z</dcterms:created>
  <dcterms:modified xsi:type="dcterms:W3CDTF">2026-10-26T04:37:35.372Z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