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ap. 8</w:t>
      </w:r>
    </w:p>
    <w:p>
      <w:r>
        <w:rPr>
          <w:b/>
          <w:bCs/>
        </w:rPr>
        <w:t xml:space="preserve">Julgado em: </w:t>
      </w:r>
      <w:r>
        <w:t xml:space="preserve">06/10/1949</w:t>
      </w:r>
    </w:p>
    <w:p/>
    <w:p>
      <w:r>
        <w:t xml:space="preserve">PENHORA NO ROSTO DOS AUTOS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penhora no rosto dos autos, simples matéria de processo, é autorizada pelo art. 936, do Código de Processo Civil, de invocar-se, no caso, "ex-vi" do art. 76, do Decreto nº 960. - Ainda que a tal Lei de Falências não contenha dispositivo permitindo a penhora no rosto dos autos, isto não é motivo para que ela não possa ser feita por essa forma. Tal espécie de penhora, em se tratando de direito e ação, já era autorizada pelas Ords., I, 6º, cap. 8º, nº 17, e até hoje não foi revogada ou derrogada. - Não se trata de conflito de leis e à hipótese é de invocar-se o art. 2º e parágs. do decreto-lei nº 4.657, de 04-09-42 (lei de introdução ao código civil). (Decisão confirmada do Juiz A. C. PEREIRA DA COSTA). Julgado em 07-10-1949 Revista dos Tribunais. Janeiro, 1950 - pg. 351. vol. 183. ano 39. fasc. 596 EMENTÁRIO FORENSE. Junho, 1950. Ano II. Nº 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108, parág. 1º, da Lei de Falências. - A Fazenda Municipal não está sujeita à habilitação de crédito em falência. A sua dívida é preferencial a qualquer outra e somente a lei reconhece concurso de preferência entre créditos de mais de uma Fazenda Pública (art. 60 e parág. único do decreto nº 960, de 17-12-1938).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2026-10-26T02:25:05.965Z</dcterms:created>
  <dcterms:modified xsi:type="dcterms:W3CDTF">2026-10-26T02:25:05.965Z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