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ap. 8</w:t>
      </w:r>
    </w:p>
    <w:p>
      <w:r>
        <w:rPr>
          <w:b/>
          <w:bCs/>
        </w:rPr>
        <w:t xml:space="preserve">Julgado em: </w:t>
      </w:r>
      <w:r>
        <w:t xml:space="preserve">06/10/1949</w:t>
      </w:r>
    </w:p>
    <w:p/>
    <w:p>
      <w:r>
        <w:t xml:space="preserve">PENHORA NO ROSTO DOS AUTOS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penhora no rosto dos autos, simples matéria de processo, é autorizada pelo art. 936, do Código de Processo Civil, de invocar-se, no caso, "ex-vi" do art. 76, do Decreto nº 960. - Ainda que a tal Lei de Falências não contenha dispositivo permitindo a penhora no rosto dos autos, isto não é motivo para que ela não possa ser feita por essa forma. Tal espécie de penhora, em se tratando de direito e ação, já era autorizada pelas Ords., I, 6º, cap. 8º, nº 17, e até hoje não foi revogada ou derrogada. - Não se trata de conflito de leis e à hipótese é de invocar-se o art. 2º e parágs. do decreto-lei nº 4.657, de 04-09-42 (lei de introdução ao código civil). (Decisão confirmada do Juiz A. C. PEREIRA DA COSTA). Julgado em 07-10-1949 Revista dos Tribunais. Janeiro, 1950 - pg. 351. vol. 183. ano 39. fasc. 596 EMENTÁRIO FORENSE. Junho, 1950. Ano II. Nº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108, parág. 1º, da Lei de Falências. - A Fazenda Municipal não está sujeita à habilitação de crédito em falência. A sua dívida é preferencial a qualquer outra e somente a lei reconhece concurso de preferência entre créditos de mais de uma Fazenda Pública (art. 60 e parág. único do decreto nº 960, de 17-12-1938).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2026-07-28T03:14:09.206Z</dcterms:created>
  <dcterms:modified xsi:type="dcterms:W3CDTF">2026-07-28T03:14:09.206Z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