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/>
    <w:p>
      <w:r>
        <w:t xml:space="preserve">AGRAVO — CONCORDATA EXTINTIVA - RECLAMAÇÃO REIVINDICATÓRIA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Nos processos de falência, nada impede a interposição dos agravos previstos no Código de Processo Civil. - A concessão da concordata extintiva não torna sem objeto a reclamação reivindicatória ainda não julgada. Revista Forense. Janeiro, 1948 - pg. 159. vol. CXV. ano XLV. fasc. 535 EMENTÁRIO FORENSE. Janeiro, 1948. Nº 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2026-10-26T04:16:28.671Z</dcterms:created>
  <dcterms:modified xsi:type="dcterms:W3CDTF">2026-10-26T04:16:28.671Z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