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03/12/1950</w:t>
      </w:r>
    </w:p>
    <w:p/>
    <w:p>
      <w:r>
        <w:t xml:space="preserve">DEVEDOR COMERCIANTE — REQUERIMENTO DE FALÊNCIA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contrário do que foi alegado pelo recorrente, a decisão recorrida deu inteira aplicação à lei federal, qual no caso o disposto no art. 9º, nº III, "a", da Lei de Falências (Decreto-lei nº 7.661, de 21 de junho de 1945). - A interpretação dada pelo Tribunal recorrido ao aplicar à espécie o aludido dispositivo, não discrepa dos princípios gerais de hermenêutico, e, deste modo, incabível o recurso, de vez que a Justiça local inteira interpretação das leis. - Aliás, o dispositivo citado já vem das leis de falência anteriores. O recorrente cita várias disposições legais, que, na sua visão, teriam sido violadas, mas que nenhuma adequação tem ao caso, de vez que invariável era a razão pela qual foi denegado o pedido de falência, desde que o credor requerente não se apresenta formalizado para fazê-lo, nos termos do citado art. 9º. - Não conheceram do recurso. Julgado em 04-12-1950 Revista Forense. Março-Abril, 1952 - pág. 128. vol. 140 EMENTÁRIO FORENSE. Agosto, 1952. Ano IV. Nº 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9º, nº III, "a", da Lei de Falências. - O comerciante, em nome individual, não pode requerer a falência de seu devedor comerciante, se não faz a prova de ter a sua firma registrada.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2026-07-28T00:08:08.178Z</dcterms:created>
  <dcterms:modified xsi:type="dcterms:W3CDTF">2026-07-28T00:08:08.178Z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