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31/10/1949</w:t>
      </w:r>
    </w:p>
    <w:p/>
    <w:p>
      <w:r>
        <w:t xml:space="preserve">ATOS DO DEVEDOR QUE IMPORTEM EM PREJUÍZO PARA OS CREDORES — REVOGAÇÃO MEDIANTE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disposto de que se trata corresponde ao art. 53 da lei vigente de falências, verbis: "São também revogáveis, relativamente à massa, os atos praticados com a intenção de prejudicar credores, provando-se a fraude do devedor e do terceiro que com ele contratar". - Discute-se entre os doutores ser ou não necessária, no caso, a prova do "eventus dammi" (v. CARVALHO DE MENDONÇA, "Trat.", vol. 7º, nº 531; TRAJANO DE MIRANDA VALVERDE, "Comentários à Lei de Falências", vol. I, nº 397, pág. 358; JAIME LEONEL, "Da Ação Revocatória", nº 91). - A caracterização do "consilium fraudis" é também objeto de vivas disceptações (MIRANDA VALVERDE, liv. cit., nºs. 395 e segs.). Também lavra controvérsia acesa sobre as afinidades e diferenças entre a revocatória falencial e a pauliana. - Mas, o que não padece dúvida é que o caso do art. 56 da antiga lei de falências é de ato revogável, anulável e não nulo "pleno jure". É exato que, mediante impugnação de credores, se se tratar de crédito apresentado na falência, pode a anulação ser decretada. Ela, porém, somente se dará por decreto do juiz, e mediante prova dos extremos do cit. art. 56 (v. JAIME LEONEL, liv. cit., nºs 89 e segs.). Julgado em 01-11-1949 Revista Forense. Setembro-Outubro, 1952 - pág. 108. vol. 143 EMENTÁRIO FORENSE. Janeiro, 1953. Ano V. Nº 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atos do devedor, prejudiciais aos credores poderão ser revogados, provando-se fraude de ambos os contraentes. Trata-se de atos anuláveis e não nulos "pleno jure". Pode a anulação ser decretada na habilitação de crédito da falência, mas, só por decisão judicial, fundada nos extremos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2026-10-26T05:42:07.662Z</dcterms:created>
  <dcterms:modified xsi:type="dcterms:W3CDTF">2026-10-26T05:42:07.662Z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