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JOSÉ DE JESUS FILHO</w:t>
      </w:r>
    </w:p>
    <w:p/>
    <w:p>
      <w:r>
        <w:t xml:space="preserve">CASO EM QUE É A INCOMPETÊNCIA RELATIVA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Irretorquivelmente, desassiste razão ao magistrado suscitante, isso porque, tratando-se, como na espécie, de competência estabelecida pelo valor da causa, verifica-se a prorrogação, desde que o réu, no prazo legal, não oponha exceção declinatória de foro ou de juízo. É o que se infere do estabelecido no art. 114 do CPC. - No caso vertente, como acima restou elucidado, não houve qualquer provocação das partes com relação a incompetência, tendo o juiz suscitante a reconhecido de ofício, o que não é tolerável, consoante amplo entendimento jurisprudencial, quando se cogita de competência relativa. Ac. de 04-04-1990 Arquivo do EMFOR - TJ/2.017 NO MESMO SENTIDO: Confl. Comp. nº 7.285, TFR, 2º Relator: Ministro JOSÉ DE JESUS FILHO, ac. de 18-6-1987, "in" "EMFOR", Nº 499. N. da R.: Devemos esta inclusão à colaboração do assinante, Promotor de Justiça JOSÉ WILSON FURTADO.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não seja alegada incompetência relativa, no prazo e forma estabelecidos, verifica-se a prorrogação a que alude o art. 114 do CPC, não devendo o juiz declará-la de ofício.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2026-07-28T01:54:13.759Z</dcterms:created>
  <dcterms:modified xsi:type="dcterms:W3CDTF">2026-07-28T01:54:13.759Z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