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/>
    <w:p>
      <w:r>
        <w:t xml:space="preserve">CASO EM QUE É A COMPETÊNCIA RELATIVA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conflito negativo de competência suscitado pelo Juiz Federal em exercício na 11ª Vara, da Seção Judiciária do Rio Grande do Sul, por ter a MM Juíza da Comarca de Novo Hamburgo, declinado de sua competência, para um dos juízes federais do Estado. - Pelas disposições, do art. 578 e seu parágrafo único, do Cód. de Proc. Civil, a Fazenda Pública dispõe, em matéria de competência, de várias opções para ajuizar a execução fiscal contra seus devedores. - Na hipótese dos autos, tem-se que a Firma executada está instalada na cidade de Nova Hamburgo - RS, onde o IAPAS ajuizou a execução, nos termos do que estabelece o art. 126 da Constituição Federal, c/c o art. 15, inc. I, da Lei 5.010/66. - Nesta circunstância, a competência do Juízo local é relativa só atacável por meio de exceção declinatória do foro (arts. 112 c/c o 114, ambos do CPC). Portanto, é defeso ao Juiz apreciá-la de ofício. Ac. de 18-06-1987 Revista do Tribunal Federal de Recursos - Dezembro de 1987 - Vol. 152 - Pág. 251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competência relativa, é defeso ao Juiz apreciar de ofício sua competência.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2026-07-28T01:26:29.573Z</dcterms:created>
  <dcterms:modified xsi:type="dcterms:W3CDTF">2026-07-28T01:26:29.573Z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