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Julgado em: </w:t>
      </w:r>
      <w:r>
        <w:t xml:space="preserve">29/05/1957</w:t>
      </w:r>
    </w:p>
    <w:p/>
    <w:p>
      <w:r>
        <w:t xml:space="preserve">CONTRIBUIÇÕES ARRECADADAS PELO FALIDO — RESTITUIÇÃO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conheço do recurso porque está comprovada a divergência jurisprudencial, mas nego-lhe provimento, de acordo com o entendimento de outros acórdãos deste Tribunal, notadamente nos recursos nº 24.015, relator o eminente Sr. Ministro OROZIMBO NONATO, e nº 18.635, relator o eminente Sr. Ministro AFRÂNIO DA COSTA. O Tribunal decidiu ser obrigatória a restituição da contribuição dos empregados descontada pelos patrões para serem recolhidas aos institutos de previdência, não andou com absoluto acerto. Julgado em 30-05-1957 Revista Trimestral de Jurisprudência. Julho-Agosto-Setembro, 1957 - pág. 145. vol. 2 EMENTÁRIO FORENSE. Outubro, 1958. Ano X. Nº 119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Descontos feitos pelos falido nos salários de seus empregados em favor do Instituto e Previdência são restituíveis na falência, como bens de terceiro em favor do falido.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2026-06-17T15:20:44.262Z</dcterms:created>
  <dcterms:modified xsi:type="dcterms:W3CDTF">2026-06-17T15:20:44.262Z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