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Julgado em: </w:t>
      </w:r>
      <w:r>
        <w:t xml:space="preserve">29/05/1957</w:t>
      </w:r>
    </w:p>
    <w:p/>
    <w:p>
      <w:r>
        <w:t xml:space="preserve">CONTRIBUIÇÕES ARRECADADAS PELO FALIDO — RESTITUIÇÃO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conheço do recurso porque está comprovada a divergência jurisprudencial, mas nego-lhe provimento, de acordo com o entendimento de outros acórdãos deste Tribunal, notadamente nos recursos nº 24.015, relator o eminente Sr. Ministro OROZIMBO NONATO, e nº 18.635, relator o eminente Sr. Ministro AFRÂNIO DA COSTA. O Tribunal decidiu ser obrigatória a restituição da contribuição dos empregados descontada pelos patrões para serem recolhidas aos institutos de previdência, não andou com absoluto acerto. Julgado em 30-05-1957 Revista Trimestral de Jurisprudência. Julho-Agosto-Setembro, 1957 - pág. 145. vol. 2 EMENTÁRIO FORENSE. Outubro, 1958. Ano X. Nº 119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Descontos feitos pelos falido nos salários de seus empregados em favor do Instituto e Previdência são restituíveis na falência, como bens de terceiro em favor do falido.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2026-09-10T22:10:46.415Z</dcterms:created>
  <dcterms:modified xsi:type="dcterms:W3CDTF">2026-09-10T22:10:46.415Z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