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24/05/1951</w:t>
      </w:r>
    </w:p>
    <w:p/>
    <w:p>
      <w:r>
        <w:t xml:space="preserve">INSCRIÇÃO DE DÍVIDA DO FALIDO — NECESSIDADE DA AUDIÊNCIA DO SÍNDICO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Aceito o pressuposto de fato de não haver o síndico tomado parte na inscrição, o venerando aresto não malferiu as leis indicadas. - O próprio art. 4º, parág. único, do decreto-lei de 14 de dezembro de 1937, estabelece: "Nenhuma penalidade será aplicada ou dívida inscrita sem prévia audiência do infrator ou do devedor". - Ora, se este é falido, indispensável a audiência do síndico, nos termos do artigo 40, parág. 1º, combinado com o art. 59 da Lei de Falências. - Por força do art. 40, parág. 1º, da Lei de Falências, não pode o devedor, desde o momento da abertura da falência, praticar qualquer ato que se refira, direta ou indiretamente, aos bens, interesses, direitos e obrigações compreendidos na falência, sob pena de nulidade, que o juiz pronunciará de ofício, independentemente de prova de prejuízo. - E o art. 59 da mesma lei atribui a administração e superintendência do juiz. O escólio de MIRANDA VALVERDE ao art. 40, parág. 1º, é concludente inadversável: "Perdendo a administração de seus bens e a disponibilidade deles, nenhum ato poderá mais o credor praticar com referência aos bens, interesses, direito e obrigações compreendidos na falência. A sanção civil para o caso de violação do preceito proibitivo é a nulidade absoluta, de pleno direito, ao ato ... Julgado em 25-05-1951 VENCIDO O MINISTRO ROCHA LAGOA Revista Forense. Maio-Junho, 1953 - pg. 152. vol. 147 EMENTÁRIO FORENSE. Setembro, 1953. Ano V. Nº 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valedio a inscrição de dívida ativa da Instituto de Aposentadoria e Pensões fundada em declaração do falido. Não pode o devedor, desde o momento da abertura da falência, praticar qualquer ato que se refira direta ou indiretamente aos bens, interesses, direitos e obrigações compreendidas na falência, sob pena de nulidade, que o juiz pronunciará de ofício, independentemente de prova de prejuízo.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2026-06-17T13:58:40.085Z</dcterms:created>
  <dcterms:modified xsi:type="dcterms:W3CDTF">2026-06-17T13:58:40.085Z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