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04/04/1965</w:t>
      </w:r>
    </w:p>
    <w:p/>
    <w:p>
      <w:r>
        <w:t xml:space="preserve">SE PREFERE AO CRÉDITO FISCAL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VOTO DO MINISTRO VICTOR NUNES LEAL - A nossa Súmula 227 (*) é sobre a concordata. Depois, tivemos um caso de falência. Conflito de Jurisdição número 2.954, julgada em 22 de outubro de 1964. Fui o Relator e apliquei o mesmo critério da Súmula. Lembrei que o Sr. Ministro HAHNEMANN GUIMARÃES sempre sustentou esse ponto-de-vista, em face da preferência dos créditos por salários e indenizações trabalhistas sobre quaisquer outros, mesmo em se tratando de falência, preferência que resulta da Lei 3.726, de 1960. - Eu tinha, inicialmente, alguma dúvida sobre os casos de falência. Mas, refletindo melhor, no caso citado, expliquei porque acompanhava o ponto-de-vista do eminente Ministro HAHNEMANN GUIMARÃES. Uma das razões é que a falência pode transformar-se em concordata extintiva, do mesmo modo que a concordata preventiva pode transformar-se em falência. Não haveria razão, portanto, para se dar tratamento especial ao caso de concordata. O critério haveria de ser o mesmo para a concordata e para a falência. E o Tribunal, unanimemente, apoiou o ponto-de-vista do Senhor Ministro HAHNEMANN GUIMARÃES, que eu então seguia. - Não se tratava, ali, de concorrência entre crédito trabalhista e crédito fiscal, mas o pressuposto da nossa jurisprudência é a preferência de crédito trabalhista por salários e indenização sobre qualquer outro, inclusive, portanto, sobre o crédito fiscal. Julgado em 05-04-1965 Revista Trimestral de Jurisprudência, 1965 - Vol. 33 - Pág. 726 (*) "A concordata do empregador não impede a execução de crédito nem a reclamação de empregado na Justiça do Trabalho". ("E.F.", Nº 194, na Seção Trabalhista, t. CONCORDATA, st. RECLAMAÇÃO TRABALHISTA) EMENTÁRIO FORENSE. Janeiro, 1966. Ano XVIII. Nº 206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crédito trabalhista prefere ao crédito fiscal.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2026-09-11T00:15:13.595Z</dcterms:created>
  <dcterms:modified xsi:type="dcterms:W3CDTF">2026-09-11T00:15:13.595Z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