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18/05/1958</w:t>
      </w:r>
    </w:p>
    <w:p/>
    <w:p>
      <w:r>
        <w:t xml:space="preserve">NÃO IMPUGNAÇÃO DA DELIBERAÇÃO DA MAIORIA — SE PERDE O DIREITO DE SER PAGO NA MESMA BASE QUE OS DEMAIS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DO MINISTRO LUIZ GALLOTTI - Se o acórdão recorrido houvesse decidido que, para impugnar a deliberação da maioria, os credores dissidentes não estão sujeitos ao prazo do parágrafo terceiro do artigo 123 da lei de falências, então sim, teria contrariado a letra desse parágrafo. - Mas o acórdão não nega a existência desse prazo, antes a reconhece explicitamente. - O que entendo é que o fato de não ter o credor impugnado naquele prazo a deliberação da maioria não lhe tira o direito de ser pago em dinheiro na base do preço da avaliação dos bens, deduzidas as importâncias correspondentes aos encargos e dívidas da massa, conforme o disposto no parágrafo quinto do mesmo artigo 123. - É uma interpretação razoável, de que se pode divergir, mas que não há como dizer vulneradora da letra da lei. - É, aliás, a interpretação de TRAJANO DE MIRANDA VALVERDE, "Comentários á Lei de Falências," 1948, vol. II, artigo 123, pág. 161, nº 772... VENCIDO O MINISTRO HENRIQUE D'ÁVILA. Diário da Justiça. Abril, 1959 - pág. 1.667 - Ap. ao Nº 83 EMENTÁRIO FORENSE. Outubro, 1959. Ano XI. Nº 131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artigo 123, parágrafos primeiro, terceiro e quinto do Decreto-lei nº 7.661, de 21 de junho de 1945. - "... o fato de não ter o credor impugnado no prazo da lei a deliberação da maioria não lhe tira o direito de ser pago em dinheiro, na base do preço da avaliação dos bens, deduzidas as importâncias correspondentes aos encargos e dívidas da massa, conforme o disposto no parágrafo quinto do mesmo artigo 123". Julgado em 19-05-1958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2026-10-26T04:39:30.452Z</dcterms:created>
  <dcterms:modified xsi:type="dcterms:W3CDTF">2026-10-26T04:39:30.452Z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