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CONCORDATA PREVENTIVA</w:t>
      </w:r>
    </w:p>
    <w:p>
      <w:r>
        <w:rPr>
          <w:i/>
          <w:iCs/>
          <w:color w:val="666666"/>
        </w:rPr>
        <w:t xml:space="preserve">DESPACHO DE DEFERIMENTO</w:t>
      </w:r>
    </w:p>
    <w:p/>
    <w:p>
      <w:r>
        <w:rPr>
          <w:b/>
          <w:bCs/>
        </w:rPr>
        <w:t xml:space="preserve">Recurso: </w:t>
      </w:r>
      <w:r>
        <w:t xml:space="preserve">RE 79.128</w:t>
      </w:r>
    </w:p>
    <w:p>
      <w:r>
        <w:rPr>
          <w:b/>
          <w:bCs/>
        </w:rPr>
        <w:t xml:space="preserve">Tribunal: </w:t>
      </w:r>
      <w:r>
        <w:t xml:space="preserve">STF</w:t>
      </w:r>
    </w:p>
    <w:p>
      <w:r>
        <w:rPr>
          <w:b/>
          <w:bCs/>
        </w:rPr>
        <w:t xml:space="preserve">Julgado em: </w:t>
      </w:r>
      <w:r>
        <w:t xml:space="preserve">29/09/1975</w:t>
      </w:r>
    </w:p>
    <w:p/>
    <w:p>
      <w:r>
        <w:t xml:space="preserve">PESSOAS JURÍDICAS DE DIREITO PÚBLICO INTERNO — ORDEM HIERÁRQUICA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Não conheço do recurso. Na verdade, a norma do art. 9º, I, da Constituição Federal, tem por objetivo eliminar divergências de tratamento entre indivíduos de diversos Estados da Federação, e preferências entre pessoas de direito público interno, isto é, a criação de benefícios a um Estado ou Município em detrimento de outro. - Não atinge, portanto, a hierarquia entre os poderes públicos federal, estadual ou municipal e, consequentemente, o disposto no art. 187, parágrafo único, e seus incisos do Código Tributário Nacional. - Assim já se pronunciou o STF - RE 79.128, relator Ministro DJACI FALCÃO. Razão tem, portanto, o recorrido. Julgado em 30-09-1975 Revista Trimestral de Jurisprudência. Junho, 1976 - vol. 76 - p. 911 EMENTÁRIO FORENSE. Março, 1977. Ano XXIX. Nº 340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Inteligência do art. 9º, I, da Constituição Federal, em face do art. 187, parágrafo único, do Código Tributário Nacional. - O privilégio geral e a ordem de preferência entre as entidades de direito público interno no processo falimentar nenhuma relação tem com o disposto no artigo 9º, I, da Constituição Federal. (Ementa do EMENTÁRIO FORENSE)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Trimestral de Jurisprudência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2026-06-17T16:36:50.395Z</dcterms:created>
  <dcterms:modified xsi:type="dcterms:W3CDTF">2026-06-17T16:36:50.395Z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