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/>
    <w:p>
      <w:r>
        <w:t xml:space="preserve">QUANDO É DESNECESSÁRIA A SUA NOMEAÇÃO PARA A DECRETAÇÃO DA QUEBRA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razão de ordem legal para se equiparar a declaração de quebra, com fundamento no artigo 1º, àquela que se baseia nos casos do artigo 2º. Para o primeiro caso, não exige a lei, que citado editalmente, com 3 dias, se o devedor não comparecer, se lhe nomeie curador à lide. O texto da terceira alínea do parágrafo primeiro do artigo 11 é muito claro: "Findo o prazo, ainda que à revelia do devedor, o escrivão o certificará e fará os autos conclusos ao juiz para a sentença". - Na hipótese do artigo 2º, exige o artigo 12, parágrafo segundo, que, em caso idêntico de revelia, seja dado curador ao devedor. - A razão está em que, para a declaração da quebra, no caso do artigo 1º, o pedido já é instruído com prova documental da dívida, caracterizada pela sua liquidez e certeza. O processo é de curso mais rápido, sendo a defesa muito restrita. Ao passo que, na hipótese do artigo 2º, nem sempre pode o credor, como observa MIRANDA VALVERDE ("Lei de Falência", vol. I, nº 96), oferecer, desde logo, as provas completas dos atos ou fatos alegados na inicial. E como alguns desses atos ou fatos revestem a figura do crime falimentar, assegurou a lei maior amplitude para a defesa do devedor revel, mandando que, se não acudir ao chamamento edital, se lhe dê curador que o defenda. - São hipóteses visivelmente distintas, nada autorizando a concluir-se que à do artigo 1º sejam aplicadas as regras especialíssimas destinadas à do artigo 2º. Julgado em 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11, parágrafo primeiro, do decreto-lei nº 7.661, de 1945, e do artigo 12, parágrafo segundo, do mesmo diploma legal. - Para a decretação da falência com fundamento no artigo 1º do decreto-lei nº 7.661, de 1945, não há necessidade de nomeação de curador à lide para o citado por edital que deixa o processo correr à revelia. Essa nomeação é indispensável para a hipótese de quebra fundada no artigo 2º do mesmo diploma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2026-10-26T02:00:02.901Z</dcterms:created>
  <dcterms:modified xsi:type="dcterms:W3CDTF">2026-10-26T02:00:02.901Z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