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CONCORDATA PREVENTIVA</w:t>
      </w:r>
    </w:p>
    <w:p>
      <w:r>
        <w:rPr>
          <w:i/>
          <w:iCs/>
          <w:color w:val="666666"/>
        </w:rPr>
        <w:t xml:space="preserve">DESPACHO DE DEFERIMENTO</w:t>
      </w:r>
    </w:p>
    <w:p/>
    <w:p>
      <w:r>
        <w:rPr>
          <w:b/>
          <w:bCs/>
        </w:rPr>
        <w:t xml:space="preserve">Julgado em: </w:t>
      </w:r>
      <w:r>
        <w:t xml:space="preserve">30/08/1953</w:t>
      </w:r>
    </w:p>
    <w:p/>
    <w:p>
      <w:r>
        <w:t xml:space="preserve">AGRAVO DE PETIÇÃO — PRAZO PARA SUA INTERPOSIÇÃO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Cumpre ponderar que os prazos para os recursos, em matéria falimentar, se contam de acordo com as disposições da lei respectiva, a qual no art. 204, estatui a regra geral de que "todos os prazos marcados nesta lei são peremptórios e contínuos, não se suspendendo em dias feriados e nas férias, e correm em cartório, salvo disposição em contrário, independentemente de publicação ou intimação". - Na espécie em exame, tratando-se de agravo de petição de sentença que não declarou a falência, previsto no art. 19 da lei respectiva, que não contém regra de exceção, mandando contar o prazo de publicação ou intimação, começou ele a fluir da data do recebimento da decisão em cartório. Julgado em 31-08-1953 Archivo Judiciário. Março, 1954 - pág. 485. vol. CIX. fasc. 3 EMENTÁRIO FORENSE. Dezembro, 1954. Ano VI. Nº 73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prazo para interposição do agravo de petição de sentença denegatória de falência, previsto no art. 19, da lei especial, corre em cartório, "ex-vi" do art. 204 da mesma lei.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2026-06-17T14:20:40.832Z</dcterms:created>
  <dcterms:modified xsi:type="dcterms:W3CDTF">2026-06-17T14:20:40.832Z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