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30/08/1953</w:t>
      </w:r>
    </w:p>
    <w:p/>
    <w:p>
      <w:r>
        <w:t xml:space="preserve">AGRAVO DE PETIÇÃO — PRAZO PARA SUA INTERPOSIÇÃO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ponderar que os prazos para os recursos, em matéria falimentar, se contam de acordo com as disposições da lei respectiva, a qual no art. 204, estatui a regra geral de que "todos os prazos marcados nesta lei são peremptórios e contínuos, não se suspendendo em dias feriados e nas férias, e correm em cartório, salvo disposição em contrário, independentemente de publicação ou intimação". - Na espécie em exame, tratando-se de agravo de petição de sentença que não declarou a falência, previsto no art. 19 da lei respectiva, que não contém regra de exceção, mandando contar o prazo de publicação ou intimação, começou ele a fluir da data do recebimento da decisão em cartório. Julgado em 31-08-1953 Archivo Judiciário. Março, 1954 - pág. 485. vol. CIX. fasc. 3 EMENTÁRIO FORENSE. Dezembro, 1954. Ano VI. Nº 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interposição do agravo de petição de sentença denegatória de falência, previsto no art. 19, da lei especial, corre em cartório, "ex-vi" do art. 204 da mesma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2026-10-26T02:25:06.875Z</dcterms:created>
  <dcterms:modified xsi:type="dcterms:W3CDTF">2026-10-26T02:25:06.875Z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