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30/08/1953</w:t>
      </w:r>
    </w:p>
    <w:p/>
    <w:p>
      <w:r>
        <w:t xml:space="preserve">AGRAVO DE PETIÇÃO — PRAZO PARA SUA INTERPOSIÇÃO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ponderar que os prazos para os recursos, em matéria falimentar, se contam de acordo com as disposições da lei respectiva, a qual no art. 204, estatui a regra geral de que "todos os prazos marcados nesta lei são peremptórios e contínuos, não se suspendendo em dias feriados e nas férias, e correm em cartório, salvo disposição em contrário, independentemente de publicação ou intimação". - Na espécie em exame, tratando-se de agravo de petição de sentença que não declarou a falência, previsto no art. 19 da lei respectiva, que não contém regra de exceção, mandando contar o prazo de publicação ou intimação, começou ele a fluir da data do recebimento da decisão em cartório. Julgado em 31-08-1953 Archivo Judiciário. Março, 1954 - pág. 485. vol. CIX. fasc. 3 EMENTÁRIO FORENSE. Dezembro, 1954. Ano VI. Nº 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do agravo de petição de sentença denegatória de falência, previsto no art. 19, da lei especial, corre em cartório, "ex-vi" do art. 204 da mesma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2026-09-10T22:29:40.020Z</dcterms:created>
  <dcterms:modified xsi:type="dcterms:W3CDTF">2026-09-10T22:29:40.020Z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