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CONCORDATA PREVENTIVA</w:t>
      </w:r>
    </w:p>
    <w:p>
      <w:r>
        <w:rPr>
          <w:i/>
          <w:iCs/>
          <w:color w:val="666666"/>
        </w:rPr>
        <w:t xml:space="preserve">DESPACHO DE DEFERIMENTO</w:t>
      </w:r>
    </w:p>
    <w:p/>
    <w:p/>
    <w:p>
      <w:r>
        <w:t xml:space="preserve">RECURSO — PRAZO - CONCEITUAÇÃO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"... O voto vitorioso (na Turma) foi o do eminente Ministro HAHNEMANN GUIMARÃES que sustentou que, em princípio, os prazos peremptórios e correm em cartório. E diz S. Excia,: "Não se trata de decisão declaratória da falência, da qual se deveria intimar o falido, mas do requerido pelo credor; este deveria ser zeloso em acompanhar o andamento da inicial, verificando em cartório o resultado do seu pedido. Se foi negado, terá o prazo de 15 dias para interpor recurso". - Acompanhou esse voto o eminente Ministro RIBEIRO DA COSTA que esclareceu: "No caso referente ao recurso extraordinário de que foi relator o Sr. Ministro NELSON HUNGRIA, e agora mencionado no voto do Sr. Ministro AFRÂNIO COSTA, o Supremo Tribunal, em sessão plenária em grau de embargos, reformou aquela decisão e relativamente ao que teria sido relatado pelo Sr. Ministro LAFAYETE DE ANDRADA, dele não me recordo bem. Além desse caso, já julgamos outro idêntico, tendo o Supremo Tribunal decidido que os prazos, nessa hipótese, também corriam em cartório. (Do relatório) VOTO DO RELATOR - Estou com o acórdão da Segunda Turma que é o pagamento vitorioso em Tribunal Pleno. Os prazos são peremptórios e correm em Cartório. - Rejeito os embargos Revista dos Tribunais. Janeiro, 1961 - pág. 785. vol. 303 EMENTÁRIO FORENSE. Agosto, 1961. Ano XIII. Nº 153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Tratando-se de decisão denegatória de falência o prazo para o recurso é peremptório e corre em cartório.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2026-09-10T23:36:56.782Z</dcterms:created>
  <dcterms:modified xsi:type="dcterms:W3CDTF">2026-09-10T23:36:56.782Z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