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23/11/1949</w:t>
      </w:r>
    </w:p>
    <w:p/>
    <w:p>
      <w:r>
        <w:t xml:space="preserve">PROCESSO DE CONCORDATA — DESCABIMENTO DO AGRAVO DE INSTRUMENTO - CONHECIMENTO ENTRETANTO DO MESMO COMO NOVO PEDIDO OU DE RECONSIDERAÇÃO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 despacho que indefere o pedido de abertura de falência, não cabe o recurso previsto no art. 162, § 2º, da lei falimentar. - Todavia, não fica o juiz impedido de conhecer do agravo como se fosse um novo pedido de abertura de falência ou um pedido de reconsideração do despacho anterior, uma vez que "as formalidades e os requisitos estabelecidos pela lei para a obtenção da concordata entram na categoria dos preceitos de ordem pública, que não podem, assim, ser alterados pela vontade dos interessados, nem por ato do juiz." Julgado em 24-11-1949 Revista dos Tribunais. Abril, 1950 - pg. 772. vol. 184. ano 39. fasc. 599 EMENTÁRIO FORENSE. Agosto, 1950. Ano II. Nº 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162, § 2º, da Lei de Falências.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2026-06-17T16:31:50.156Z</dcterms:created>
  <dcterms:modified xsi:type="dcterms:W3CDTF">2026-06-17T16:31:50.156Z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