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23/11/1949</w:t>
      </w:r>
    </w:p>
    <w:p/>
    <w:p>
      <w:r>
        <w:t xml:space="preserve">PROCESSO DE CONCORDATA — DESCABIMENTO DO AGRAVO DE INSTRUMENTO - CONHECIMENTO ENTRETANTO DO MESMO COMO NOVO PEDIDO OU DE RECONSIDERAÇÃO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despacho que indefere o pedido de abertura de falência, não cabe o recurso previsto no art. 162, § 2º, da lei falimentar. - Todavia, não fica o juiz impedido de conhecer do agravo como se fosse um novo pedido de abertura de falência ou um pedido de reconsideração do despacho anterior, uma vez que "as formalidades e os requisitos estabelecidos pela lei para a obtenção da concordata entram na categoria dos preceitos de ordem pública, que não podem, assim, ser alterados pela vontade dos interessados, nem por ato do juiz." Julgado em 24-11-1949 Revista dos Tribunais. Abril, 1950 - pg. 772. vol. 184. ano 39. fasc. 599 EMENTÁRIO FORENSE. Agosto, 1950. Ano II. Nº 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162, § 2º, da Lei de Falências.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2026-10-26T03:08:27.760Z</dcterms:created>
  <dcterms:modified xsi:type="dcterms:W3CDTF">2026-10-26T03:08:27.760Z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