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07/10/1951</w:t>
      </w:r>
    </w:p>
    <w:p/>
    <w:p>
      <w:r>
        <w:t xml:space="preserve">SE A JUSTIFICA A EXECUÇÃO INICIADA POR TÍTULO QUE LHE DÊ INGRESSO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mantendo a decisão. No direito anterior, o art. 2º fazia referência expressa à condenação, parecendo, pois, que esse artigo exigia que chegasse o processo à fase da sentença condenatória. - A lei atual diz simplesmente: "Art. 2º. Caracteriza-se, também, a falência, se o comerciante: I - executado, não paga, não deposita a importância, ou não nomeia bens à penhora, dentro do prazo legal". - Basta, pois, tenha havido a execução, ou por via de título que lhe dê ingresso ou por sentença. - A recorrente cita vários autores com outra interpretação, mas esses eminentes mestres, salvo BENTO DE FARIA, escreveram no domínio de leis anteriores, que dispunham diferentemente. Vide, quanto à lei atual, MIRANDA VALVERDE, volume 1º, pág. 38. - Diz a recorrente que, "electa una via, non datur ingressus ad alterum". É claro: desde, porém, que o autor requereu a falência, renunciou à ação executiva. O que ele não pode levar por diante os dois processos. - A defesa não foi cerceada. Houve possibilidade de amplas provas. Assim não descumprida a lei, não há lugar para o recurso extraordinário, do qual eu não conheço. Julgado em 08-10-1951 Revista Forense. Janeiro-Fevereiro, 1954 - pág. 141. vol. 151 EMENTÁRIO FORENSE. Julho, 1954. Ano VI. Nº 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2º, nº I, do Decreto-lei nº 7.661, de 21 de junho de 1945. - No domínio da atual Lei de Falências, a execução iniciada por título que lhe dê ingresso, independentemente de sentença, também justifica a decretação com base no art. 2º.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2026-06-17T14:18:29.449Z</dcterms:created>
  <dcterms:modified xsi:type="dcterms:W3CDTF">2026-06-17T14:18:29.449Z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