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07/10/1951</w:t>
      </w:r>
    </w:p>
    <w:p/>
    <w:p>
      <w:r>
        <w:t xml:space="preserve">SE A JUSTIFICA A EXECUÇÃO INICIADA POR TÍTULO QUE LHE DÊ INGRESSO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mantendo a decisão. No direito anterior, o art. 2º fazia referência expressa à condenação, parecendo, pois, que esse artigo exigia que chegasse o processo à fase da sentença condenatória. - A lei atual diz simplesmente: "Art. 2º. Caracteriza-se, também, a falência, se o comerciante: I - executado, não paga, não deposita a importância, ou não nomeia bens à penhora, dentro do prazo legal". - Basta, pois, tenha havido a execução, ou por via de título que lhe dê ingresso ou por sentença. - A recorrente cita vários autores com outra interpretação, mas esses eminentes mestres, salvo BENTO DE FARIA, escreveram no domínio de leis anteriores, que dispunham diferentemente. Vide, quanto à lei atual, MIRANDA VALVERDE, volume 1º, pág. 38. - Diz a recorrente que, "electa una via, non datur ingressus ad alterum". É claro: desde, porém, que o autor requereu a falência, renunciou à ação executiva. O que ele não pode levar por diante os dois processos. - A defesa não foi cerceada. Houve possibilidade de amplas provas. Assim não descumprida a lei, não há lugar para o recurso extraordinário, do qual eu não conheço. Julgado em 08-10-1951 Revista Forense. Janeiro-Fevereiro, 1954 - pág. 141. vol. 151 EMENTÁRIO FORENSE. Julho, 1954. Ano VI. Nº 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2º, nº I, do Decreto-lei nº 7.661, de 21 de junho de 1945. - No domínio da atual Lei de Falências, a execução iniciada por título que lhe dê ingresso, independentemente de sentença, também justifica a decretação com base no art. 2º.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2026-10-26T04:41:26.652Z</dcterms:created>
  <dcterms:modified xsi:type="dcterms:W3CDTF">2026-10-26T04:41:26.652Z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