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 48.877</w:t>
      </w:r>
    </w:p>
    <w:p>
      <w:r>
        <w:rPr>
          <w:b/>
          <w:bCs/>
        </w:rPr>
        <w:t xml:space="preserve">Relator: </w:t>
      </w:r>
      <w:r>
        <w:t xml:space="preserve">DUQUE ESTRADA</w:t>
      </w:r>
    </w:p>
    <w:p>
      <w:r>
        <w:rPr>
          <w:b/>
          <w:bCs/>
        </w:rPr>
        <w:t xml:space="preserve">Julgado em: </w:t>
      </w:r>
      <w:r>
        <w:t xml:space="preserve">08/12/1949</w:t>
      </w:r>
    </w:p>
    <w:p/>
    <w:p>
      <w:r>
        <w:t xml:space="preserve">PEDIDO DE RESTITUIÇÃO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necessário fazer a distinção entre os depósitos regulares e os depósitos irregulares de importância em dinheiro não individualizado em conta-corrente bancária. - .................................... - Ao depositante compete a boa escolha do "estabelecimento bancário", uma vez que entrega o dinheiro em depósito a prazo, ou sem prazo, já sabendo do uso que o Banco fará e o risco da sua restituição, auferindo, por isso, juros convencionados. - .................................................... - Portanto, o saldo de uma conta-corrente bancária constitui crédito quirografário sujeito aos efeitos da falência, e, por isso, não dá direito a ser restituído ou reivindicado por meio de ação de restituição uma vez que não se enquadra nas hipóteses previstas no art. 76 da Lei de Falências. Julgado em 09-12-1949 Revista Forense. Agosto, 1951 - pág. 151. vol. CXXXVI. ano XLVIII. fasc. 578 NO MESMO SENTIDO: Agr. Petição nº 461. Tr. Just. D. Federal - 5ª C. Relator: DUQUE ESTRADA, julgado em 17-01-1950, in "E.F.", nº 37 EMENTÁRIO FORENSE. Dezembro, 1951. Ano III. Nº 37 EMENTA: - É restituível pela massa o depósito em banco, feito a prazo fixo, 15 dias antes da decretação da falência. (Ementa do EMENTÁRIO FORENSE) RESUMO DO ACÓRDÃO: - A decisão recorrida afina-se com a jurisprudência do Supremo Tribunal Federal. - O direito à restituição, quando a mercadoria foi entregue ao falido ou concordatário, está expresso no artigo 76, parágrafo 2º do Decreto-lei 7.661, de 21-06-45. Se a mercadoria não foi vendida, dá-se a restituição. Se vendida, restitui-se o seu valor em dinheiro. - No caso dos autos, foi feito em depósito a prazo fixo, nos 15 dias anteriores à decretação na falência. - Como acentua a decisão recorrida, a lei não exclui a restituição de dinheiro, mormente por se tratar de depósito a prazo fixo, em que se formou a obrigação da devolução do dinheiro ao fim do prazo. - Dentro desse espírito, é que foram tomadas as seguintes decisões pelo Supremo Tribunal Federal: Ag. 22.127, de 21-01-1960; RE 48.877, em 12-10-1961; RE 24.435 de 05-07-1960, em que se tratava, neste último caso, de restituição integral de dinheiro em poder do falido, em virtude de mandato; RE 51.597, em 02-04-1963, DJ 14-06-1963, apenso ao nº 110, pág. 408; RE 52.034, em 27-06-63, DJ 22-08-1963, apenso ao Nº 158. - Atendendo a que se demonstrou dissídio jurisprudencial, conheço do recurso, mas lhe nego provimento. Julgado em 31-08-1965 Revista Trimestral de Jurisprudência. 1965. Vol. 34. Pág. 213 EMENTÁRIO FORENSE. Fevereiro, 1966. Ano XVIII. Nº 207 EMENTA: - Inteligência do art. 11, parág. 2º, do Decreto-lei nº 7.661, de 1945 (Lei de Falências). - O depósito elisivo da falência é o feito em moeda corrente. Não tem esse efeito o constituído por cheque. RESUMO DO ACÓRDÃO: - A "federal question" a ser decidida é saber se, em face do preceito citado (art. 11, parág. 2º, da Lei de Falências), vulnera a lei a afirmativa do acórdão de que não obsta à falência o depósito, não da quantia reclamada, senão de simples cheque da emissão do próprio devedor. - MIRANDA VALVERDE, fala, ao propósito, em depósito, no juízo da falência, da "quantia correspondente ao crédito reclamado", em "depósito integral" da importância do crédito ("Comentários à Lei de Falências", ed. "Revista Forense", vol. I, nºs. 100 e 101). - Trata-se, afinal, de pagamento para apagar o fato da impontualidade. - E o pagamento deve ser feito em moeda corrente. - Cuida-se, é certo, de depósito para discutir que, já no regime anterior, se admitia, por força de doutrina armada à ilharga do texto legal e com o patrocínio no autorizadíssimo dos nossos comercialistas, CARVALHO DE MENDONÇA (vede WALDEMAR FERREIRA, "Direito Comercial", vol. II, pág. 98). - Mas, se a sua finalidade é afastar o fato da insolvência, opera como pagamento, ainda que condicional, e, pois, deve ser, em princípio efetuado em moeda corrente, única que tem força liberatória. - A dívida de dinheiro, como diz MANUEL INÁCIO CARVALHO DE MENDONÇA, deve ser paga em moeda corrente: não pode o credor recusar o pagamento sob o fundamento de desvalorização, como não pode ser compelido a aceitar títulos de dívida, ainda pública, que não tem força legal liberatória. Julgado em 16-10-1951 Revista Forense. Novembro-Dezembro, 1952 - pág. 120. vol. 144 EMENTÁRIO FORENSE. Março, 1953. Ano V. Nº 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saldo de uma conta-corrente bancária constitui crédito quirografário, sujeito aos efeitos da falência e, assim, não se restituem ou reivindicam por meio de ação de restituição.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2026-09-10T22:10:10.715Z</dcterms:created>
  <dcterms:modified xsi:type="dcterms:W3CDTF">2026-09-10T22:10:10.715Z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