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CONCORDATA PREVENTIVA</w:t>
      </w:r>
    </w:p>
    <w:p>
      <w:r>
        <w:rPr>
          <w:i/>
          <w:iCs/>
          <w:color w:val="666666"/>
        </w:rPr>
        <w:t xml:space="preserve">DESPACHO DE DEFERIMENTO</w:t>
      </w:r>
    </w:p>
    <w:p/>
    <w:p>
      <w:r>
        <w:rPr>
          <w:b/>
          <w:bCs/>
        </w:rPr>
        <w:t xml:space="preserve">Julgado em: </w:t>
      </w:r>
      <w:r>
        <w:t xml:space="preserve">01/08/1950</w:t>
      </w:r>
    </w:p>
    <w:p/>
    <w:p>
      <w:r>
        <w:t xml:space="preserve">SEU CARÁTER ADMINISTRATIVO — REFORMA ADMISSÍVEL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A decisão contra a qual se rebela o impetrante não constitui nenhuma ofensa á lei, visto como o despacho que mandou arquivar a falência, de conteúdo puramente administrativo, podia ser reformado pelo juiz para o efeito de, reabrindo aquela, restituir a situação ao estado ordenado pelo acórdão da veneranda 2ª Câmara deste Tribunal. É evidente que, se daí resultou qualquer ofensa a interesse do impetrante, devia ele manifestar sua insubmissão por meio de recurso ordinário que a lei faculta, contra despachos e decisões judiciais, e não usando do remédio de que lançou mão e que só pode remediar ofensas em direito líquido e certo. E que não lhe é lícito invocar infração de semelhante direito, basta considerar, como opina acisadamente o parecer, que na sua falência, irregularmente trancada, habilitaram-se três credores retardatários, e, portanto, com direito à discussão do acervo. Julgado em 02-08-1950 Revista Forense. Janeiro-Fevereiro, 1953 - pág. 322. vol. 145 EMENTÁRIO FORENSE. Julho, 1953. Ano V. Nº 56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 despacho que manda arquivar falência é de conteúdo puramente administrativo, podendo, pois, ser reformado pelo juiz que, reabrindo-a, restitui a situação à continuação do processo.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2026-06-17T14:17:18.663Z</dcterms:created>
  <dcterms:modified xsi:type="dcterms:W3CDTF">2026-06-17T14:17:18.663Z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