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30/03/1950</w:t>
      </w:r>
    </w:p>
    <w:p/>
    <w:p>
      <w:r>
        <w:t xml:space="preserve">NECESSIDADE DE SER OUVIDO PREVIAMENTE O MESMO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 distinguir são os casos de destituição e os de simples substituição de síndicos. Esta pode ocorrer nas hipóteses previstas no art. 60 do decreto-lei nº 7.661, se a nomeação recair em credor que tenha qualquer das incompatibilidades enumeradas no parág. 3º do mesmo artigo, quando o Juiz, atendendo às alegações e provas, independentemente de audiência do nomeado, dentro de 24 horas, decidirá a respeito (parág. 4º do citado art. 60). - A destituição, porém, só se dá nos termos do art. 66 da lei falimentar citada e, salvo o caso dela se fundar em excesso de prazos marcados para a prática de atos inerentes à função do síndico, precedendo a sua audiência e a do representante do Ministério Público. - A pena de destituição é, sem dúvida, das mais graves que se pode impor a um síndico, e tal seja o motivo; envolve até mesmo responsabilidade criminal. De conseguinte, não deve ela ser aplicada sem que se dê ensejo à defesa, isto em respeito à regra de direito natural de que ninguém pode ser punido sem ser ouvido. Julgado em 31-03-1950 Revista dos Tribunais. Junho, 1950 - pg. 850. vol. 185. ano 39. fasc. 601 EMENTÁRIO FORENSE. DEZEMBRO, 1950. Ano II. Nº 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e aplicação do art. 66 da Lei de Falências. - A pena de destituição é, sem dúvida, das mais graves que se pode impor a um síndico; e tal seja o motivo, envolve até mesmo responsabilidade criminal. De conseguinte, não deve ela ser aplicada sem que se dê ensejo à defesa, isto em respeito à regra de direito natural de que ninguém pode ser punido sem se ouvido.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2026-09-11T00:17:36.274Z</dcterms:created>
  <dcterms:modified xsi:type="dcterms:W3CDTF">2026-09-11T00:17:36.274Z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