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30/03/1950</w:t>
      </w:r>
    </w:p>
    <w:p/>
    <w:p>
      <w:r>
        <w:t xml:space="preserve">NECESSIDADE DE SER OUVIDO PREVIAMENTE 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distinguir são os casos de destituição e os de simples substituição de síndicos. Esta pode ocorrer nas hipóteses previstas no art. 60 do decreto-lei nº 7.661, se a nomeação recair em credor que tenha qualquer das incompatibilidades enumeradas no parág. 3º do mesmo artigo, quando o Juiz, atendendo às alegações e provas, independentemente de audiência do nomeado, dentro de 24 horas, decidirá a respeito (parág. 4º do citado art. 60). - A destituição, porém, só se dá nos termos do art. 66 da lei falimentar citada e, salvo o caso dela se fundar em excesso de prazos marcados para a prática de atos inerentes à função do síndico, precedendo a sua audiência e a do representante do Ministério Público. - A pena de destituição é, sem dúvida, das mais graves que se pode impor a um síndico, e tal seja o motivo; envolve até mesmo responsabilidade criminal. De conseguinte, não deve ela ser aplicada sem que se dê ensejo à defesa, isto em respeito à regra de direito natural de que ninguém pode ser punido sem ser ouvido. Julgado em 31-03-1950 Revista dos Tribunais. Junho, 1950 - pg. 850. vol. 185. ano 39. fasc. 601 EMENTÁRIO FORENSE. DEZEMBRO, 1950. Ano II. Nº 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e aplicação do art. 66 da Lei de Falências. - A pena de destituição é, sem dúvida, das mais graves que se pode impor a um síndico; e tal seja o motivo, envolve até mesmo responsabilidade criminal. De conseguinte, não deve ela ser aplicada sem que se dê ensejo à defesa, isto em respeito à regra de direito natural de que ninguém pode ser punido sem se ouvido.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2026-10-26T03:24:13.387Z</dcterms:created>
  <dcterms:modified xsi:type="dcterms:W3CDTF">2026-10-26T03:24:13.387Z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