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06/12/1951</w:t>
      </w:r>
    </w:p>
    <w:p/>
    <w:p>
      <w:r>
        <w:t xml:space="preserve">FUNDAMENTO EM TER SIDO O MESMO DIRETOR-GERENTE DA FIRMA — 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óbvio que deverá servir como síndico de uma falência uma pessoa isenta de quaisquer suspeitas. Fundou-se a decisão no art. 66, "in fine", da lei de falências. - Ora, tendo sido o agravante diretor-gerente da falida num período próximo da decretação da falência, estará ele impossibilidade de defender os interesses da massa por atos praticados pela falida nesse período. Julgado em 07-12-1951 Diário da Justiça. Abril, 1952 - pág. 1943. Ap ao Nº 87 EMENTÁRIO FORENSE. Julho, 1952. Ano IV. Nº 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66, "in fine", da lei de falências. - O diretor-gerente de uma empresa não pode ser síndico da falência dela.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2026-09-10T23:22:00.887Z</dcterms:created>
  <dcterms:modified xsi:type="dcterms:W3CDTF">2026-09-10T23:22:00.887Z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