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06/12/1951</w:t>
      </w:r>
    </w:p>
    <w:p/>
    <w:p>
      <w:r>
        <w:t xml:space="preserve">FUNDAMENTO EM TER SIDO O MESMO DIRETOR-GERENTE DA FIRMA — PROCEDÊNCIA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óbvio que deverá servir como síndico de uma falência uma pessoa isenta de quaisquer suspeitas. Fundou-se a decisão no art. 66, "in fine", da lei de falências. - Ora, tendo sido o agravante diretor-gerente da falida num período próximo da decretação da falência, estará ele impossibilidade de defender os interesses da massa por atos praticados pela falida nesse período. Julgado em 07-12-1951 Diário da Justiça. Abril, 1952 - pág. 1943. Ap ao Nº 87 EMENTÁRIO FORENSE. Julho, 1952. Ano IV. Nº 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66, "in fine", da lei de falências. - O diretor-gerente de uma empresa não pode ser síndico da falência dela.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2026-10-26T02:21:03.181Z</dcterms:created>
  <dcterms:modified xsi:type="dcterms:W3CDTF">2026-10-26T02:21:03.181Z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