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CONCORDATA PREVENTIVA</w:t>
      </w:r>
    </w:p>
    <w:p>
      <w:r>
        <w:rPr>
          <w:i/>
          <w:iCs/>
          <w:color w:val="666666"/>
        </w:rPr>
        <w:t xml:space="preserve">DESPACHO DE DEFERIMENTO</w:t>
      </w:r>
    </w:p>
    <w:p/>
    <w:p>
      <w:r>
        <w:rPr>
          <w:b/>
          <w:bCs/>
        </w:rPr>
        <w:t xml:space="preserve">Julgado em: </w:t>
      </w:r>
      <w:r>
        <w:t xml:space="preserve">15/06/1953</w:t>
      </w:r>
    </w:p>
    <w:p/>
    <w:p>
      <w:r>
        <w:t xml:space="preserve">OMISSÃO DA EXPOSIÇÃO — HIPÓTESE EM QUE SE NÃO JUSTIFICA A PENALIDADE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ato, ora discutido, do Dr. Juiz de Direito, foi por demais rigoroso. Nada demonstra que o Dr. Síndico tenha omitido, por má-fé, ou com segundo intuito, a especificação, na sua exposição dos fatos que constituem crime falimentar. O laudo do perito encarregado do exame da escrituração do falido aponta claramente a negligência culposa do concordatário, referente à falta de aviso nos balanços. O perito é técnico contábil escolhido pelo síndico, pessoa de sua confiança, que elabora trabalho que acompanhará a exposição, integrando-o, mesmo. Sem esta peça judicial, encaminhada e perfilhada pelo expositor, não teria havido denúncia contra o falido. Se a denúncia resultasse de inspeção direta nos livros, ou nos autos (nestes, não em peças, explicitando a falta, e fornecidas pelo próprio síndico), omitido pelo síndico o fato que configura o crime, havendo então pleno motivo para a destituição (art. 110 do Decreto-Lei nº 7.661, de 21-06-1945). - Cumpre observar, ainda, que a destituição constitui verdadeira penalidade, pois sobre acarretar, em regra, a perda das vantagens resultante do exercício do cargo, cria a incompatibilidade do destituído para a nomeação de síndico de qualquer outra falência, como mostra TRAJANO DE MIRANDA VALVERDE ("Comentários à Lei Falimentar", vol. I, pág. 422). Penalidade que é, deve ser aplicada com muita prudência, e, sempre que possível, depois de ouvido o faltoso. Julgado em 16-06-1953 Revista Jurídica. Setembro-Outubro, 1953 - pg. 81, nº 5 EMENTÁRIO FORENSE. Abril, 1954. Ano VI. Nº 65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laudo do perito faz parte da exposição do síndico; se a denúncia nele se baseia, não há falar em omissão por parte do síndico.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2026-09-11T00:14:59.426Z</dcterms:created>
  <dcterms:modified xsi:type="dcterms:W3CDTF">2026-09-11T00:14:59.426Z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