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DUPLICATA</w:t>
      </w:r>
    </w:p>
    <w:p>
      <w:r>
        <w:rPr>
          <w:i/>
          <w:iCs/>
          <w:color w:val="666666"/>
        </w:rPr>
        <w:t xml:space="preserve">PROVA DO RECEBIMENTO DA MERCADORIA</w:t>
      </w:r>
    </w:p>
    <w:p/>
    <w:p>
      <w:r>
        <w:rPr>
          <w:b/>
          <w:bCs/>
        </w:rPr>
        <w:t xml:space="preserve">Julgado em: </w:t>
      </w:r>
      <w:r>
        <w:t xml:space="preserve">10/11/1955</w:t>
      </w:r>
    </w:p>
    <w:p/>
    <w:p>
      <w:r>
        <w:t xml:space="preserve">SE FLUEM A FAVOR DA MASSA APÓS A DECLARAÇÃO DE FALÊNCIA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 ação movida ao apelado pela apelante, foi condenado o primeiro a pagar à segunda saldo devedor em conta-corrente, apurado à data em que se decretou a falência da credora, acrescido apenas dos juros moratórios. Negou a sentença, à apelante juros convencionais sobre o mesmo saldo, contados do encerramento da conta até a propositura da ação. Esta Câmara, porém, contra o voto do Sr. Desembargador OLIVEIRA LIMA, tem entendido que o encerramento da conta-corrente consequente à declaração da falência, não obsta à fluência de juros sobre o saldo apurado, quando legal ou convencionalmente devidos. A esses juros, devidos até que intentada pela massa ação da cobrança acrescem os moratórios iniciada que seja esta. Nem se diga que, por não correrem juros contra a massa (art. 36 da Lei de Falências), não devem eles correr em favor desta, pois as razões que justificam a não fluência de juros contra a massa em nada se relacionam com as que possam, ou não, justificar a fluência deles em favor da mesma. Não correm juros contra a massa, dado o vencimento antecipado dos débitos do falido e a natureza concursal do processo em reclamados; ao passo que em favor da massa nada há que se oponha à sua fluência, sempre que estipulados. A não ser assim, o devedor em conta-corrente, que viesse até então, pagando juros, colheria benefício do encerramento da conta pela falência de seu credor, sem motivo algum que o justificasse. Julgado em 11-11-1955 Revista dos Tribunais. Março, 1956. Pág.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encerramento de conta-corrente, consequente, à declaração da falência, não obsta à fluência de juros sobre o saldo apurado, quando devidos. Em favor da massa, os juros continuarão a correr, mesmo depois de decretada a falência, sempre que tiverem sido estipulados e não haja razão de direito que o contrário determine. Os moratórios dever ser contados da citação inicial e os convencionais desde a decretação da quebra até a propositura da ação.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2026-06-17T15:41:33.805Z</dcterms:created>
  <dcterms:modified xsi:type="dcterms:W3CDTF">2026-06-17T15:41:33.805Z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