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Julgado em: </w:t>
      </w:r>
      <w:r>
        <w:t xml:space="preserve">26/09/1950</w:t>
      </w:r>
    </w:p>
    <w:p/>
    <w:p>
      <w:r>
        <w:t xml:space="preserve">IMPETRAÇÃO CONTRA DECISÃO DECRETADORA DE FALÊNCIA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DO MINISTRO HAHNEMANN GUIMARÃES: ... contra a sentença declaratória da falência, há um recurso que já é quase secular em nosso Direito. São os embargos opostos pelo falido, embargos instituídos pelo Decreto nº 738, de 25 de novembro de 1850. - Além dos embargos contra a sentença declaratória de falência, lei posterior, se não me engano o Decreto nº 917, de 1890, acrescentou o agravo de instrumento. - Há, por conseguinte, contra a sentença declaratória da falência, dois recursos em nosso Direito, que não tem efeito suspensivo. São os embargos e o agravo de instrumento. - No caso, quis-se evitar o efeito meramente devolutivo dos recursos, por meio do mandado de segurança. É admitir-se mandado de segurança para reforma do próprio sistema processual falimentar, que não foi improvisado, pois data, como já acentuei no princípio do meu voto, de quase um século. - Não é possível, por mais urgente que seja a necessidade de tutelar o interesse da embargada, não é possível que essa tutela seja concedida com infração tão violenta do sistema processual falimentar, dando-se mandado de segurança em casos para os quais a lei concede o recurso sem efeito suspensivo. Julgado em 27-09-1950 Revista Forense. Outubro, 1951 - pg. 112 - vol. CXXXVII. ano XLVIII. fasc. 580 EMENTÁRIO FORENSE. Fevereiro, 1952. Ano IV. Nº 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mandado de segurança não é meio idôneo para rescindir decisão que decreta a falência de comerciante. Dela cabe recurso próprio, instituído pela Lei de Falências.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2026-10-26T05:34:44.297Z</dcterms:created>
  <dcterms:modified xsi:type="dcterms:W3CDTF">2026-10-26T05:34:44.297Z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