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>
      <w:r>
        <w:rPr>
          <w:b/>
          <w:bCs/>
        </w:rPr>
        <w:t xml:space="preserve">Julgado em: </w:t>
      </w:r>
      <w:r>
        <w:t xml:space="preserve">27/02/1963</w:t>
      </w:r>
    </w:p>
    <w:p/>
    <w:p>
      <w:r>
        <w:t xml:space="preserve">INGRESSO EM JUÍZO — SUA SIGNIFICAÇÃO COMO DEFESA DOS INTERESSES DOS CREDORES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ocorre também na espécie o caso julgado. Não é possível identificar o falido com a massa. Nem é por outra razão que o artigo 58 da Lei de Falências permite a revogação de atos, mesmo que para a celebração deles houvesse precedido sentença executória. Como observa JAIME LEONEL: "... quando a massa falida ingressa em Juízo para pedir a revogação de determinado ato do falido, ela o faz na qualidade de terceiro, vindicando direitos que lhe são próprios e que lhe pertencem como entidade à parte do falido. Por isto mesmo, a ineficácia é pronunciada, não no interesse do falido, mas no interesse de seus credores" ("Da Ação Revocatória no Direito de Falência", página 139, nº 135). Para a revogação de tais atos não há, pois, necessidade de ação rescisória, como quer o apelante. Atende-se também, a esse respeito, para a lição de MIRANDA VALVERDE, transcrita nas contra-razões de recurso. Julgado em 28-02-1963 Revista dos Tribunais. 1965 - Vol. 351 - Pág. 189 EMENTÁRIO FORENSE. Maio, 1966. Ano XVIII. Nº 210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a massa falida ingressa em Juízo para pedir a revogação de determinado ato do falido, ela o faz na qualidade de terceiro, vindicando direitos que lhe são próprios; não visa ao interesse do falido, mas dos credores.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2026-09-11T00:27:27.096Z</dcterms:created>
  <dcterms:modified xsi:type="dcterms:W3CDTF">2026-09-11T00:27:27.096Z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