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06/10/1969</w:t>
      </w:r>
    </w:p>
    <w:p/>
    <w:p>
      <w:r>
        <w:t xml:space="preserve">CONTAGEM A FAVOR DOS CREDORES DA MASSA — LEI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I. O caso parece-me inédito no Supremo Tribunal Federal e, por isso, inclino-me a conhecer dele pela letra "a", pois, a meu ver, houve violação do art. 150, parágrafo 3º, da Constituição Federal. Pela letra "d", não há demonstração sequer mínima do dissídio. - II. A questão federal reside em saber-se se, por analogia, podem ser contados juros de 12% a.a. aos credores da Massa Falida, já que a Lei nº 4.983, de maio de 1966, fixou essa taxa para os créditos na concordata preventiva. Anteriormente, à falta de disposição expressa na Lei de Falências, eram pacíficos os juros de 6% dos arts. 1.062 e 1.063 do Código Civil. - III. Tenho para mim que a aplicação analógica, expressamente contemplada no art. 4º da introdução ao Código Civil, autoriza a decisão recorrida. A disposição sobre juros da concordata preventiva oferece mais afinidade com a falência, do que o Código Civil. A analogia deve ser buscada nas leis do mesmo ramo jurídico e dos institutos mais correlacionados, como a falência e a concordata. No caso, a Lei nº 4.983 antes do Código Civil. - Em qualquer caso, a decisão recorrida não estaria transpondo as lindes da interpretação razoável da Súmula nº 400 (*). - IV. Mas há um argumento da recorrente a merecer acolhimento. A falência data de 1958. A aplicação da lei de maio de 1966 seria, então, retroativa, com menoscabo do art. 150, parágrafo 3º, da Constituição Federal. - V. Conheço do recurso e dou-lhe provimento em parte, apenas para que os juros de 12% sejam contados a partir da vigência da Lei nº 4.983-66, correndo os de 6% quanto ao período anterior. Julgado em 07-10-1969 Revista Trimestral de Jurisprudência. Agosto, 1970 - Pág. 381 - Vol. 53 (*) In "EMENTÁRIO FORENSE", Nº 212 - Separata nº 54 - t. FALÊNCIA - 1. EMENTÁRIO FORENSE. Janeiro, 1971. Ano XXIII. Nº 266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I. É razoável a interpretação que, por analogia com a Lei nº 983 (*), de 18-05-1966, manda contar à taxa de 12% a.a., os juros devidos aos credores da massa falida. II. No recurso à analogia, expressamente admitida pelo art. 4º da introdução ao Código Civil, devem buscar-se, em primeiro lugar, as disposições do mesmo ramo jurídico e, quanto possível, as dos institutos afins e conexos, como a falência e a concordata. III. Mas a aplicação analógica, para não ser retroativa, não deve atingir o período anterior à vigência da Lei nº 4.983/66.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2026-10-26T03:09:45.740Z</dcterms:created>
  <dcterms:modified xsi:type="dcterms:W3CDTF">2026-10-26T03:09:45.740Z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