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DUPLICATA</w:t>
      </w:r>
    </w:p>
    <w:p>
      <w:r>
        <w:rPr>
          <w:i/>
          <w:iCs/>
          <w:color w:val="666666"/>
        </w:rPr>
        <w:t xml:space="preserve">PROVA DO RECEBIMENTO DA MERCADORIA</w:t>
      </w:r>
    </w:p>
    <w:p/>
    <w:p>
      <w:r>
        <w:rPr>
          <w:b/>
          <w:bCs/>
        </w:rPr>
        <w:t xml:space="preserve">Julgado em: </w:t>
      </w:r>
      <w:r>
        <w:t xml:space="preserve">16/07/1959</w:t>
      </w:r>
    </w:p>
    <w:p/>
    <w:p>
      <w:r>
        <w:t xml:space="preserve">SUA INCLUSÃO COMO REIVINDICANTES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O acórdão trazido como exemplo representa "data venia" o pensamento vencedor, neste Tribunal pois que o direito de restituição das importâncias, descontadas pelo empregador de seus empregados e não recolhias aos Institutos de Previdência, decorre de lei, isto é, do artigo 9º do Decreto-lei nº 65, de 14 de dezembro de 1937, como fez ver a decisão embargada. A legislação de que esse dispositivo se acha revogado é improcedente, como ficou plenamente evidenciado, pois não há incompatibilidade entre a lei anterior e a posterior. Julgado em 17-07-1959 Revista Forense. Janeiro-Fevereiro-Março, 1961 - pág. 147. vol. 193 EMENTÁRIO FORENSE. Janeiro, 1962. Ano XIV. Nº 158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Nas falências, os Institutos e Caixas de Aposentadoria e Pensões devem ser incluídos, como reivindicantes quando agem como mandatários legais.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2026-09-10T22:20:58.934Z</dcterms:created>
  <dcterms:modified xsi:type="dcterms:W3CDTF">2026-09-10T22:20:58.934Z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