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Julgado em: </w:t>
      </w:r>
      <w:r>
        <w:t xml:space="preserve">16/07/1959</w:t>
      </w:r>
    </w:p>
    <w:p/>
    <w:p>
      <w:r>
        <w:t xml:space="preserve">SUA INCLUSÃO COMO REIVINDICANTES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trazido como exemplo representa "data venia" o pensamento vencedor, neste Tribunal pois que o direito de restituição das importâncias, descontadas pelo empregador de seus empregados e não recolhias aos Institutos de Previdência, decorre de lei, isto é, do artigo 9º do Decreto-lei nº 65, de 14 de dezembro de 1937, como fez ver a decisão embargada. A legislação de que esse dispositivo se acha revogado é improcedente, como ficou plenamente evidenciado, pois não há incompatibilidade entre a lei anterior e a posterior. Julgado em 17-07-1959 Revista Forense. Janeiro-Fevereiro-Março, 1961 - pág. 147. vol. 193 EMENTÁRIO FORENSE. Janeiro, 1962. Ano XIV. Nº 158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falências, os Institutos e Caixas de Aposentadoria e Pensões devem ser incluídos, como reivindicantes quando agem como mandatários legais.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2026-06-17T14:15:39.451Z</dcterms:created>
  <dcterms:modified xsi:type="dcterms:W3CDTF">2026-06-17T14:15:39.451Z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