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Julgado em: </w:t>
      </w:r>
      <w:r>
        <w:t xml:space="preserve">16/07/1959</w:t>
      </w:r>
    </w:p>
    <w:p/>
    <w:p>
      <w:r>
        <w:t xml:space="preserve">SUA INCLUSÃO COMO REIVINDICANTES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trazido como exemplo representa "data venia" o pensamento vencedor, neste Tribunal pois que o direito de restituição das importâncias, descontadas pelo empregador de seus empregados e não recolhias aos Institutos de Previdência, decorre de lei, isto é, do artigo 9º do Decreto-lei nº 65, de 14 de dezembro de 1937, como fez ver a decisão embargada. A legislação de que esse dispositivo se acha revogado é improcedente, como ficou plenamente evidenciado, pois não há incompatibilidade entre a lei anterior e a posterior. Julgado em 17-07-1959 Revista Forense. Janeiro-Fevereiro-Março, 1961 - pág. 147. vol. 193 EMENTÁRIO FORENSE. Janeiro, 1962. Ano XIV. Nº 158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falências, os Institutos e Caixas de Aposentadoria e Pensões devem ser incluídos, como reivindicantes quando agem como mandatários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2026-10-26T04:40:13.901Z</dcterms:created>
  <dcterms:modified xsi:type="dcterms:W3CDTF">2026-10-26T04:40:13.901Z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