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p>
      <w:r>
        <w:t xml:space="preserve">QUANDO CABE ESTA E NÃO AQUELA</w:t>
      </w:r>
    </w:p>
    <w:p/>
    <w:p>
      <w:pPr>
        <w:pStyle w:val="Heading2"/>
      </w:pPr>
      <w:r>
        <w:rPr>
          <w:b/>
          <w:bCs/>
        </w:rPr>
        <w:t xml:space="preserve">Resumo</w:t>
      </w:r>
    </w:p>
    <w:p>
      <w:r>
        <w:t xml:space="preserve">- Segundo o artigo 77, perece o direito perecendo o seu objeto. E nos termos do artigo 78, I e III, entende-se que pereceu o objeto do direito quando perde as qualidades essenciais, ou o valor econômico; e quando fica em lugar de onde não pode ser retirado. - No caso dos autos, os lotes já não apresentam suas qualidades essenciais, pouco ou nada valem no comércio; e não podem ser recuperados, como adiante se verá. - É verdade que a coisa, o terreno, ainda existe fisicamente. - Para o direito, contudo, a existência física da coisa não é o fator decisivo, consoante se verifica dos mencionados incisos I e III do artigo 78 do CC. O fundamental é que a coisa seja funcionalmente dirigida a uma finalidade viável, jurídica e economicamente. - Pense-se no que ocorre com a denominada desapropriação indireta. Se o imóvel, rural ou urbano, foi ocupado ilicitamente pela Administração Pública, pode o particular defender-se logo com Ações Possessórias ou dominiais. Se tarda e ali é construída uma estrada, uma rua, um edifício público, o esbulhado não conseguirá reaver o terreno, o qual, entretanto, continua a ter existência física. Ao particular, só cabe Ação Indenizatória. - Isto acontece porque o objeto do direito transmudou-se. Já não existe mais, jurídica, econômica e socialmente, aquele fragmento de terra do fundo rústico ou urbano. Existe uma outra coisa, ou seja, uma estrada ou uma rua, etc. Razões econômicas e sociais impedem a recuperação física do antigo imóvel. - Por outras palavras, o "jus reivindicandi" (artigo 524, parte final, do CC) foi suprimido pelas circunstâncias acima apontadas. - Essa é a Doutrina e a Jurisprudência consagradas há meio século no Direito brasileiro. - No caso dos autos, a retomada física é também inviável. - O desalojamento forçado de 30 (trinta) famílias, cerca de 100 (cem) pessoas, todas inseridas na comunidade urbana muito maior da extensa favela, já consolidada, implica uma operação cirúrgica de natureza ético-social, sem anestesia, inteiramente incompatível com a vida e a natureza do Direito. - É uma operação socialmente impossível. - E o que é socialmente impossível é juridicamente impossível. - Ensina L. RECASÉNS SICHES, com apoio explícito em MIGUEL REALE, que o Direito, como obra humana que é, apresenta sempre três dimensões, a saber: "A) Dimensión de hecho, la cual comprende los hechos humanos sociales en los que el Derecho se gesta y se produce; así como las conductas humanas reales en las quales el Derecho se cumple y lleva a cabo. B) Dimensión normativa (...) C) Dimensión de valor, estimativa, o axiológica, consistente en que sus normas, mediante las cuales se trata de satisfacer una série de necesidades humanas, esto intentan hacerlo con las exigencias de unos valores, de la justicia y de los demás valores que esta implica, entre los que figuran la autonomía de la persona, la seguridad, el bien común y otros. (...) pero debemos precatarnos de que las tres (dimensiones) se hallan reciprocamente unidas de un modo inescindible, vinculadas por triples nexos de esencial implicación mutua" ("Introducción al Estudio Del Derecho", México, 1970, p. 45). - Por aí se vê que a dimensão simplesmente normativa do Direito é inseparável do conteúdo ético-social do mesmo, deixando a certeza de que a solução que se revela impossível do ponto de vista social é igualmente impossível do ponto de vista jurídico. - O atual direito positivo brasileiro não comporta o pretendido alcance do poder de reivindicar atribuído ao proprietário pel o artigo 524 do CC. - A leitura de todos os textos do CC só pode se fazer à luz dos preceitos constitucionais vigentes. Não se concebe um direito de propriedade que tenha vida em confronto com a Constituição Federal, ou que se desenvolva paralelamente a ela. - As regras legais, como se sabe, se arrumam de forma piramidal. - Ao mesmo tempo em que manteve propriedade privada, a CF a submeteu ao princípio da função social (artigos 5º, XXII e XXIII; 170, II e III; 182, 2º; 184; 186; etc.). - Esse princípio não significa apenas uma limitação a mais ao direito de propriedade, como, por exemplo, as restrições administrativas, que atuam por força externa àquele direito, em decorrência do poder de polícia da Administração. - O princípio da função social atua no conteúdo do direito. Entre os poderes inerentes ao domínio, previstos no artigo 524 do CC (usar, fruir, dispor e reivindicar), o princípio da função social introduz um outro interesse (social) que pode não coincidir com os</w:t>
      </w:r>
    </w:p>
    <w:p/>
    <w:p>
      <w:pPr>
        <w:pStyle w:val="Heading2"/>
      </w:pPr>
      <w:r>
        <w:rPr>
          <w:b/>
          <w:bCs/>
        </w:rPr>
        <w:t xml:space="preserve">Ementa</w:t>
      </w:r>
    </w:p>
    <w:p>
      <w:r>
        <w:t xml:space="preserve">O abandono dos lotes urbanos caracteriza uso anti-social da propriedade, afastado que se apresenta do princípio constitucional da função social da propriedade. Permanece, todavia, o direito dos proprietários de pleitear indenização contra quem de direito.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2026-07-27T23:30:25.973Z</dcterms:created>
  <dcterms:modified xsi:type="dcterms:W3CDTF">2026-07-27T23:30:25.973Z</dcterms:modified>
</cp:coreProperties>
</file>

<file path=docProps/custom.xml><?xml version="1.0" encoding="utf-8"?>
<Properties xmlns="http://schemas.openxmlformats.org/officeDocument/2006/custom-properties" xmlns:vt="http://schemas.openxmlformats.org/officeDocument/2006/docPropsVTypes"/>
</file>