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04/05/1953</w:t>
      </w:r>
    </w:p>
    <w:p/>
    <w:p>
      <w:r>
        <w:t xml:space="preserve">PRIVILÉGIO — INCLUSÃO DE PRINCIPAL E ACESSÓRIOS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Somente pende de decisão a questão da classificação de tais juros. E, a esse respeito, segundo a regra do art. 58 do Código Civil, o acessório deve seguir o principal, e, portanto, é incontestável que, sendo privilegiado o principal, não o poderia deixar de ser o acessório, que são os juros que lhe são acrescidos mensalmente na eventualidade de falta de pagamento regular (art. 1º do Decreto-lei nº 65, de 14 de dezembro de 1937). - Se há privilégio quanto ao pagamento das contribuições devidas pelo falido privilégio também deverá haver quanto ao montante dos juros que lhes são necessariamente incorporados. - Não haveria tampouco por que distinguir, como propôs o Dr. curador de Massas, entre os juros das contribuições devidas pela massa falida, como empregadora, e as devidas pelas quotas dos empregados. Se, em relação a esta última contribuição, cabe pedido de restituição, por se entender que o empregador age como mandatário, nem por isso tira á mesma, e portanto, aos respectivos juros, o caráter de contribuição a que o empregador está sujeito para com os Institutos. Julgado em 05-05-1953 Revista Forense. Março-Abril, 1955 - pág. 202. vol. 158 EMENTÁRIO FORENSE. Novembro, 1955. Ano 7. Nº 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58 do Código Civil. - O privilégio conferido aos Institutos e Caixas de Aposentadoria, em relação às contribuições que o falido deve, abrange o principal e o acessório, que são os juros.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2026-10-26T04:15:47.835Z</dcterms:created>
  <dcterms:modified xsi:type="dcterms:W3CDTF">2026-10-26T04:15:47.835Z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