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Julgado em: </w:t>
      </w:r>
      <w:r>
        <w:t xml:space="preserve">04/05/1953</w:t>
      </w:r>
    </w:p>
    <w:p/>
    <w:p>
      <w:r>
        <w:t xml:space="preserve">PRIVILÉGIO — INCLUSÃO DE PRINCIPAL E ACESSÓRIOS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Somente pende de decisão a questão da classificação de tais juros. E, a esse respeito, segundo a regra do art. 58 do Código Civil, o acessório deve seguir o principal, e, portanto, é incontestável que, sendo privilegiado o principal, não o poderia deixar de ser o acessório, que são os juros que lhe são acrescidos mensalmente na eventualidade de falta de pagamento regular (art. 1º do Decreto-lei nº 65, de 14 de dezembro de 1937). - Se há privilégio quanto ao pagamento das contribuições devidas pelo falido privilégio também deverá haver quanto ao montante dos juros que lhes são necessariamente incorporados. - Não haveria tampouco por que distinguir, como propôs o Dr. curador de Massas, entre os juros das contribuições devidas pela massa falida, como empregadora, e as devidas pelas quotas dos empregados. Se, em relação a esta última contribuição, cabe pedido de restituição, por se entender que o empregador age como mandatário, nem por isso tira á mesma, e portanto, aos respectivos juros, o caráter de contribuição a que o empregador está sujeito para com os Institutos. Julgado em 05-05-1953 Revista Forense. Março-Abril, 1955 - pág. 202. vol. 158 EMENTÁRIO FORENSE. Novembro, 1955. Ano 7. Nº 84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art. 58 do Código Civil. - O privilégio conferido aos Institutos e Caixas de Aposentadoria, em relação às contribuições que o falido deve, abrange o principal e o acessório, que são os juros.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2026-06-17T14:05:30.992Z</dcterms:created>
  <dcterms:modified xsi:type="dcterms:W3CDTF">2026-06-17T14:05:30.992Z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