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DUPLICATA</w:t>
      </w:r>
    </w:p>
    <w:p>
      <w:r>
        <w:rPr>
          <w:i/>
          <w:iCs/>
          <w:color w:val="666666"/>
        </w:rPr>
        <w:t xml:space="preserve">PROVA DO RECEBIMENTO DA MERCADORIA</w:t>
      </w:r>
    </w:p>
    <w:p/>
    <w:p>
      <w:r>
        <w:rPr>
          <w:b/>
          <w:bCs/>
        </w:rPr>
        <w:t xml:space="preserve">Julgado em: </w:t>
      </w:r>
      <w:r>
        <w:t xml:space="preserve">04/05/1953</w:t>
      </w:r>
    </w:p>
    <w:p/>
    <w:p>
      <w:r>
        <w:t xml:space="preserve">PRIVILÉGIO — INCLUSÃO DE PRINCIPAL E ACESSÓRIOS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Somente pende de decisão a questão da classificação de tais juros. E, a esse respeito, segundo a regra do art. 58 do Código Civil, o acessório deve seguir o principal, e, portanto, é incontestável que, sendo privilegiado o principal, não o poderia deixar de ser o acessório, que são os juros que lhe são acrescidos mensalmente na eventualidade de falta de pagamento regular (art. 1º do Decreto-lei nº 65, de 14 de dezembro de 1937). - Se há privilégio quanto ao pagamento das contribuições devidas pelo falido privilégio também deverá haver quanto ao montante dos juros que lhes são necessariamente incorporados. - Não haveria tampouco por que distinguir, como propôs o Dr. curador de Massas, entre os juros das contribuições devidas pela massa falida, como empregadora, e as devidas pelas quotas dos empregados. Se, em relação a esta última contribuição, cabe pedido de restituição, por se entender que o empregador age como mandatário, nem por isso tira á mesma, e portanto, aos respectivos juros, o caráter de contribuição a que o empregador está sujeito para com os Institutos. Julgado em 05-05-1953 Revista Forense. Março-Abril, 1955 - pág. 202. vol. 158 EMENTÁRIO FORENSE. Novembro, 1955. Ano 7. Nº 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58 do Código Civil. - O privilégio conferido aos Institutos e Caixas de Aposentadoria, em relação às contribuições que o falido deve, abrange o principal e o acessório, que são os juros.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2026-09-10T23:19:29.817Z</dcterms:created>
  <dcterms:modified xsi:type="dcterms:W3CDTF">2026-09-10T23:19:29.817Z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