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Julgado em: </w:t>
      </w:r>
      <w:r>
        <w:t xml:space="preserve">19/05/1952</w:t>
      </w:r>
    </w:p>
    <w:p/>
    <w:p>
      <w:r>
        <w:t xml:space="preserve">EXIGÊNCIA DOS VENDIDOS ATÉ A DATA DA FALÊNCIA —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que tange à invocação do art. 25 da Lei de falências, é de convir que o mesmo não foi violado. O que a lei proíbe é a fluência de juros contra a massa. No caso "sub judice", não se computaram juros contra a massa. Foram mandados pagar juros devidos até a data da falência. Julgado em 20-05-1952 Revista Forense. Setembro-Outubro, 1953 - pg. 262. vol. 149 EMENTÁRIO FORENSE. Abril, 1954. Ano VI. Nº 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fluem juros contra a massa. Mas aderem ao principal e são exigíveis os juros vencidos até a data da falência.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2026-06-17T14:03:02.314Z</dcterms:created>
  <dcterms:modified xsi:type="dcterms:W3CDTF">2026-06-17T14:03:02.314Z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