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19/05/1952</w:t>
      </w:r>
    </w:p>
    <w:p/>
    <w:p>
      <w:r>
        <w:t xml:space="preserve">EXIGÊNCIA DOS VENDIDOS ATÉ A DATA DA FALÊNCIA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invocação do art. 25 da Lei de falências, é de convir que o mesmo não foi violado. O que a lei proíbe é a fluência de juros contra a massa. No caso "sub judice", não se computaram juros contra a massa. Foram mandados pagar juros devidos até a data da falência. Julgado em 20-05-1952 Revista Forense. Setembro-Outubro, 1953 - pg. 262. vol. 149 EMENTÁRIO FORENSE. Abril, 1954. Ano VI. Nº 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fluem juros contra a massa. Mas aderem ao principal e são exigíveis os juros vencidos até a data da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2026-09-10T22:09:32.225Z</dcterms:created>
  <dcterms:modified xsi:type="dcterms:W3CDTF">2026-09-10T22:09:32.225Z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