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Julgado em: </w:t>
      </w:r>
      <w:r>
        <w:t xml:space="preserve">17/04/1985</w:t>
      </w:r>
    </w:p>
    <w:p/>
    <w:p>
      <w:r>
        <w:t xml:space="preserve">MAIORIDADE ATINGIDA NO CURSO DO PROCESSO — SE AFETA A COMPETÊNCIA FIRMADA ANTERIORMENTE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 decidem, tendo em vista o princípio do art. 87 do CPC a que alude o parecer da Procuradoria-Geral da Justiça. - Nos termos desse preceito, a competência firmada com a propositura da ação não se altera com as modificações do estado de fato ocorridas posteriormente, seja em relação aos termos da lide, seja em relação à condição das partes. Assim, a emancipação do réu, pela maioridade no curso do processo, não afeta, por força de lei expressa, a competência que inicialmente se firmou na contemplação de sua incapacidade relativa. Julgado em 18-04-1985 Revista dos Tribunais. Agosto, 1985 - Pág. 48 EMFOR 451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artigo 87 do Código de Processo Civil. - A emancipação pela maioridade, no curso do processo, não afeta a competência que inicialmente se firmou na contemplação da incapacidade relativa.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2026-07-28T01:23:02.964Z</dcterms:created>
  <dcterms:modified xsi:type="dcterms:W3CDTF">2026-07-28T01:23:02.964Z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