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Julgado em: </w:t>
      </w:r>
      <w:r>
        <w:t xml:space="preserve">05/05/1963</w:t>
      </w:r>
    </w:p>
    <w:p/>
    <w:p>
      <w:r>
        <w:t xml:space="preserve">CRÉDITOS PROVENIENTES DAS MESMAS — SE SE INCLUEM NA FALÊNCIA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Rejeito os embargos, reportando-me a votos anteriores. Não obstante pronunciamento em contrário, parece-me que a jurisprudência do Supremo Tribunal se firmou no mesmo sentido da decisão embargada. Relembro a este respeito julgado recente, nos embargos 47.566, de 20 de outubro de 1961, relator o eminente Ministro RIBEIRO DA COSTA, no qual o Plenário, com um só voto vencido, reformou os créditos provenientes de multas moratórias fiscais. Foi esse julgado publicado, pela ementa, no D.J, de 30-11-61, pág. 2.718. Julgado em 06-05-1963 Diário da Justiça. Julho, 1963 - pág. 516 - Ap. ao Nº 129 EMENTÁRIO FORENSE. Outubro, 1963. Ano XV. Nº 179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Inclui-se na falência o crédito proveniente de multas fiscais moratórias, as quais não estão compreendidas entre as penas pecuniárias a que alude o artigo 23, parágrafo único, inciso III, do Decreto-lei nº 7.661, de 1945.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2026-06-17T14:08:01.289Z</dcterms:created>
  <dcterms:modified xsi:type="dcterms:W3CDTF">2026-06-17T14:08:01.289Z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