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05/05/1963</w:t>
      </w:r>
    </w:p>
    <w:p/>
    <w:p>
      <w:r>
        <w:t xml:space="preserve">CRÉDITOS PROVENIENTES DAS MESMAS — SE SE INCLUEM NA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Rejeito os embargos, reportando-me a votos anteriores. Não obstante pronunciamento em contrário, parece-me que a jurisprudência do Supremo Tribunal se firmou no mesmo sentido da decisão embargada. Relembro a este respeito julgado recente, nos embargos 47.566, de 20 de outubro de 1961, relator o eminente Ministro RIBEIRO DA COSTA, no qual o Plenário, com um só voto vencido, reformou os créditos provenientes de multas moratórias fiscais. Foi esse julgado publicado, pela ementa, no D.J, de 30-11-61, pág. 2.718. Julgado em 06-05-1963 Diário da Justiça. Julho, 1963 - pág. 516 - Ap. ao Nº 129 EMENTÁRIO FORENSE. Outubro, 1963. Ano XV. Nº 179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Inclui-se na falência o crédito proveniente de multas fiscais moratórias, as quais não estão compreendidas entre as penas pecuniárias a que alude o artigo 23, parágrafo único, inciso III, do Decreto-lei nº 7.661, de 1945.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2026-10-26T07:04:34.054Z</dcterms:created>
  <dcterms:modified xsi:type="dcterms:W3CDTF">2026-10-26T07:04:34.054Z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