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17/11/1963</w:t>
      </w:r>
    </w:p>
    <w:p/>
    <w:p>
      <w:r>
        <w:t xml:space="preserve">SE PARTICIPAM DO PRIVILÉGIO ATRIBUÍDO À FAZENDA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sustentei aqui a tese do E. Ministro HAHNEMANN GUIMARÃES, mas, depois acompanhei a jurisprudência vitoriosa no sentido do acórdão embargado quando sustenta que a multa fiscal não deve ser considerada como pena pecuniária no sentido que lhe empresta a Lei de Falências. - Rejeitados os embargos. Julgado em 18-11-1963 Diário da Justiça. Março, 1964 - pág. 78 - Ap. ao Nº 41 EMENTÁRIO FORENSE. Maio, 1964. Ano XVI. Nº 186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de artigo 23, parágrafo único, inciso III, do Decreto-lei nº 7.661-45. - A multa fiscal não é pena pecuniária no sentido que se lhe atribui na Lei de Falências, mas meio e modo de evitar a evasão de impostos e figuram ao lado de impostos e taxas como fontes de receita pública, participando do privilégio atribuído à Fazenda pelo artigo 69 do Decreto-lei nº 960, de 1938.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2026-06-17T14:09:06.501Z</dcterms:created>
  <dcterms:modified xsi:type="dcterms:W3CDTF">2026-06-17T14:09:06.501Z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