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17/11/1963</w:t>
      </w:r>
    </w:p>
    <w:p/>
    <w:p>
      <w:r>
        <w:t xml:space="preserve">SE PARTICIPAM DO PRIVILÉGIO ATRIBUÍDO À FAZENDA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sustentei aqui a tese do E. Ministro HAHNEMANN GUIMARÃES, mas, depois acompanhei a jurisprudência vitoriosa no sentido do acórdão embargado quando sustenta que a multa fiscal não deve ser considerada como pena pecuniária no sentido que lhe empresta a Lei de Falências. - Rejeitados os embargos. Julgado em 18-11-1963 Diário da Justiça. Março, 1964 - pág. 78 - Ap. ao Nº 41 EMENTÁRIO FORENSE. Maio, 1964. Ano XVI. Nº 186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de artigo 23, parágrafo único, inciso III, do Decreto-lei nº 7.661-45. - A multa fiscal não é pena pecuniária no sentido que se lhe atribui na Lei de Falências, mas meio e modo de evitar a evasão de impostos e figuram ao lado de impostos e taxas como fontes de receita pública, participando do privilégio atribuído à Fazenda pelo artigo 69 do Decreto-lei nº 960, de 1938.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2026-10-26T02:37:02.603Z</dcterms:created>
  <dcterms:modified xsi:type="dcterms:W3CDTF">2026-10-26T02:37:02.603Z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