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17/11/1963</w:t>
      </w:r>
    </w:p>
    <w:p/>
    <w:p>
      <w:r>
        <w:t xml:space="preserve">SE PARTICIPAM DO PRIVILÉGIO ATRIBUÍDO À FAZENDA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sustentei aqui a tese do E. Ministro HAHNEMANN GUIMARÃES, mas, depois acompanhei a jurisprudência vitoriosa no sentido do acórdão embargado quando sustenta que a multa fiscal não deve ser considerada como pena pecuniária no sentido que lhe empresta a Lei de Falências. - Rejeitados os embargos. Julgado em 18-11-1963 Diário da Justiça. Março, 1964 - pág. 78 - Ap. ao Nº 41 EMENTÁRIO FORENSE. Maio, 1964. Ano XVI. Nº 186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de artigo 23, parágrafo único, inciso III, do Decreto-lei nº 7.661-45. - A multa fiscal não é pena pecuniária no sentido que se lhe atribui na Lei de Falências, mas meio e modo de evitar a evasão de impostos e figuram ao lado de impostos e taxas como fontes de receita pública, participando do privilégio atribuído à Fazenda pelo artigo 69 do Decreto-lei nº 960, de 1938.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2026-09-10T23:35:03.082Z</dcterms:created>
  <dcterms:modified xsi:type="dcterms:W3CDTF">2026-09-10T23:35:03.082Z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