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45.430</w:t>
      </w:r>
    </w:p>
    <w:p>
      <w:r>
        <w:rPr>
          <w:b/>
          <w:bCs/>
        </w:rPr>
        <w:t xml:space="preserve">Julgado em: </w:t>
      </w:r>
      <w:r>
        <w:t xml:space="preserve">20/11/1973</w:t>
      </w:r>
    </w:p>
    <w:p/>
    <w:p>
      <w:r>
        <w:t xml:space="preserve">SE SE INCLUI NO CRÉDITO HABILITADO A MULTA MORATÓRIA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jurisprudência predominante, compendiada nas Súmulas 191 e 192, não se inclui no crédito habilitado em falência a multa fiscal com efeito de pena administrativa, porém se inclui a multa fiscal simplesmente moratória. - A distinção foi feita, com clareza, no julgamento do RE 45.430: "Multa administrativa não se confunde com a de mora, para efeito da Lei Falimentar. A multa administrativa é pessoal e por ela não responde a Massa. Ao contrário, a de mora acompanha o imposto e a ela é adjeta". - No caso, trata-se, sem dúvida, de multa moratória, razão por que se impõe e reforma da decisão recorrida. - Conheço do recurso, pelo manifesto dissídio de julgados, e lhe dou provimento. Julgado em 21-11-1973 Revista Trimestral de Jurisprudência. Setembro, 1974 - Vol. 69 - Pág. 836 (*) "Inclui-se no crédito habilitado em falência a multa fiscal simplesmente moratória." ("EMENTÁRIO FORENSE", Nº 194) (**) "Não se inclui no crédito habilitado em falência a multa fiscal com efeito de pena administrativa." ("EMENTÁRIO FORENSE", Nº 194) EMENTÁRIO FORENSE. Junho, 1975. Ano XXVII. Nº 319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Inclui-se no crédito habilitado, em falência, a multa fiscal moratória.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2026-10-26T02:35:13.520Z</dcterms:created>
  <dcterms:modified xsi:type="dcterms:W3CDTF">2026-10-26T02:35:13.520Z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