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45.430</w:t>
      </w:r>
    </w:p>
    <w:p>
      <w:r>
        <w:rPr>
          <w:b/>
          <w:bCs/>
        </w:rPr>
        <w:t xml:space="preserve">Julgado em: </w:t>
      </w:r>
      <w:r>
        <w:t xml:space="preserve">20/11/1973</w:t>
      </w:r>
    </w:p>
    <w:p/>
    <w:p>
      <w:r>
        <w:t xml:space="preserve">SE SE INCLUI NO CRÉDITO HABILITADO A MULTA MORATÓRIA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jurisprudência predominante, compendiada nas Súmulas 191 e 192, não se inclui no crédito habilitado em falência a multa fiscal com efeito de pena administrativa, porém se inclui a multa fiscal simplesmente moratória. - A distinção foi feita, com clareza, no julgamento do RE 45.430: "Multa administrativa não se confunde com a de mora, para efeito da Lei Falimentar. A multa administrativa é pessoal e por ela não responde a Massa. Ao contrário, a de mora acompanha o imposto e a ela é adjeta". - No caso, trata-se, sem dúvida, de multa moratória, razão por que se impõe e reforma da decisão recorrida. - Conheço do recurso, pelo manifesto dissídio de julgados, e lhe dou provimento. Julgado em 21-11-1973 Revista Trimestral de Jurisprudência. Setembro, 1974 - Vol. 69 - Pág. 836 (*) "Inclui-se no crédito habilitado em falência a multa fiscal simplesmente moratória." ("EMENTÁRIO FORENSE", Nº 194) (**) "Não se inclui no crédito habilitado em falência a multa fiscal com efeito de pena administrativa." ("EMENTÁRIO FORENSE", Nº 194) EMENTÁRIO FORENSE. Junho, 1975. Ano XXVII. Nº 319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Inclui-se no crédito habilitado, em falência, a multa fiscal moratória.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2026-09-10T22:41:20.970Z</dcterms:created>
  <dcterms:modified xsi:type="dcterms:W3CDTF">2026-09-10T22:41:20.970Z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