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Relator: </w:t>
      </w:r>
      <w:r>
        <w:t xml:space="preserve">DUQUE ESTRADA</w:t>
      </w:r>
    </w:p>
    <w:p>
      <w:r>
        <w:rPr>
          <w:b/>
          <w:bCs/>
        </w:rPr>
        <w:t xml:space="preserve">Julgado em: </w:t>
      </w:r>
      <w:r>
        <w:t xml:space="preserve">11/11/1953</w:t>
      </w:r>
    </w:p>
    <w:p/>
    <w:p>
      <w:r>
        <w:t xml:space="preserve">INVESTIGAÇÃO DE SUA CAUSA PELO JUIZ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afirma o acórdão recorrido, o negócio subjacente às promissórias é uma compra e venda mercantil, usando do arbítrio conferido ao Juiz na falência, para pesquisar a causa da obrigação, chegaram a sentença e o acórdão à conclusão da licitude de operação. - Seria rematado absurdo se as irregularidades da vida comercial do devedor, em relação ao cumprimento de exigências e formalidades legais quando à escrita, etc. fossem prejudicar aos credores que negociando de boa fé, não tem elementos para fiscalizar a intensidade do comércio desses devedores. Julgado em 12-11-1953 Archivo Judiciário. Agosto, 1954 - pág. 168. vol. CXI. fasc. 2 NO MESMO SENTIDO: Agr. Petição nº 1.397, Tr. Just. D. Federal - 5ª C., Relator: DUQUE ESTRADA, julgado em 02-05-1951, in "E.F.", nº 62 EMENTÁRIO FORENSE. Março, 1955. Ano VII. Nº 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falência tem o juiz arbítrio para investigar a causa da obrigação cambial.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2026-10-26T02:36:04.614Z</dcterms:created>
  <dcterms:modified xsi:type="dcterms:W3CDTF">2026-10-26T02:36:04.614Z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