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02/12/1954</w:t>
      </w:r>
    </w:p>
    <w:p/>
    <w:p>
      <w:r>
        <w:t xml:space="preserve">SENTENÇA ANTERIOR À NOVA LEI FALENCIAL — PRAZO PARA A EXTINÇÃO - FLUÊNCIA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Acordam... deferir a revista... - ............................... - Em relação à segunda tese, por terem afirmado os (acórdãos) divergentes a de que, se tratando de falência anterior à nova lei, o prazo de extinção das obrigações de falido tem início da sentença que julgou boas as contas do liquidatário, pois que o processo, com ela, chegou ao seu término, nem se exigindo por lei, nem sendo usual, a esse tempo, uma decisão de encerramento da quebra. De seu lado, o acórdão recorrido estabeleceu a exigência do Decreto judicial de encerramento da falência, para a contagem desse prazo, em qualquer circunstância. Julgado em 03-12-1954 Revista dos Tribunais. Abril, 1955 - pág. 309. vol. 234 EMENTÁRIO FORENSE. Janeiro, 1956. Ano VIII. Nº 86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"... em se tratando de sentença anterior à nova lei, o prazo de extinção das obrigações de falido tem início da sentença que julgou boas as contas do liquidatário..." (Trecho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2026-06-17T14:05:32.824Z</dcterms:created>
  <dcterms:modified xsi:type="dcterms:W3CDTF">2026-06-17T14:05:32.824Z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