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02/12/1954</w:t>
      </w:r>
    </w:p>
    <w:p/>
    <w:p>
      <w:r>
        <w:t xml:space="preserve">SENTENÇA ANTERIOR À NOVA LEI FALENCIAL — PRAZO PARA A EXTINÇÃO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Acordam... deferir a revista... - ............................... - Em relação à segunda tese, por terem afirmado os (acórdãos) divergentes a de que, se tratando de falência anterior à nova lei, o prazo de extinção das obrigações de falido tem início da sentença que julgou boas as contas do liquidatário, pois que o processo, com ela, chegou ao seu término, nem se exigindo por lei, nem sendo usual, a esse tempo, uma decisão de encerramento da quebra. De seu lado, o acórdão recorrido estabeleceu a exigência do Decreto judicial de encerramento da falência, para a contagem desse prazo, em qualquer circunstância. Julgado em 03-12-1954 Revista dos Tribunais. Abril, 1955 - pág. 309. vol. 234 EMENTÁRIO FORENSE. Janeiro, 1956. Ano VIII. Nº 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"... em se tratando de sentença anterior à nova lei, o prazo de extinção das obrigações de falido tem início da sentença que julgou boas as contas do liquidatário..."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2026-09-10T22:41:34.303Z</dcterms:created>
  <dcterms:modified xsi:type="dcterms:W3CDTF">2026-09-10T22:41:34.303Z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