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Julgado em: </w:t>
      </w:r>
      <w:r>
        <w:t xml:space="preserve">02/12/1954</w:t>
      </w:r>
    </w:p>
    <w:p/>
    <w:p>
      <w:r>
        <w:t xml:space="preserve">SENTENÇA ANTERIOR À NOVA LEI FALENCIAL — PRAZO PARA A EXTINÇÃO -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Acordam... deferir a revista... - ............................... - Em relação à segunda tese, por terem afirmado os (acórdãos) divergentes a de que, se tratando de falência anterior à nova lei, o prazo de extinção das obrigações de falido tem início da sentença que julgou boas as contas do liquidatário, pois que o processo, com ela, chegou ao seu término, nem se exigindo por lei, nem sendo usual, a esse tempo, uma decisão de encerramento da quebra. De seu lado, o acórdão recorrido estabeleceu a exigência do Decreto judicial de encerramento da falência, para a contagem desse prazo, em qualquer circunstância. Julgado em 03-12-1954 Revista dos Tribunais. Abril, 1955 - pág. 309. vol. 234 EMENTÁRIO FORENSE. Janeiro, 1956. Ano VIII. Nº 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"... em se tratando de sentença anterior à nova lei, o prazo de extinção das obrigações de falido tem início da sentença que julgou boas as contas do liquidatário..."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2026-10-26T04:58:12.379Z</dcterms:created>
  <dcterms:modified xsi:type="dcterms:W3CDTF">2026-10-26T04:58:12.379Z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