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Julgado em: </w:t>
      </w:r>
      <w:r>
        <w:t xml:space="preserve">21/08/1950</w:t>
      </w:r>
    </w:p>
    <w:p/>
    <w:p>
      <w:r>
        <w:t xml:space="preserve">QUANDO SE EXTINGUEM — ENCERRAMENTO DA FALÊNCIA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regime da lei anterior, de nº 5.746, de 1929, não havia necessidade de publicação de sentença encerrando a falência, e isso porque a falência devia ser encerrada "dois anos depois da sua declaração". A jurisprudência consagrou, então, que a prescrição devia ser contada, mesmo para efeitos penais, da data em que a falência deveria ter sido encerrada, isto é, desde que decorrido o prazo para o seu encerramento e sua publicação, para a contagem do início do prazo para a prescrição das obrigações e da ação pessoal. - Mas a nova lei encontrou adquirido o direito do agravante, não só quanto à extinção da ação penal, como em relação às suas obrigações, desde que o prazo corria da data em que deveria estar encerrada a falência, de conformidade com a lei anterior. A lei nova encontrou já findo o prazo para a prescrição, e não, ainda, em curso. A prescrição consumada, como acentuou o insigne Ministro OROZIMBO NONATO ("Diário da Justiça", de 22 de maio de 1943, pág. 2.233), oferece os característicos do direito adquirido. O agravante tem, assim, direito de requerer a extinção de suas obrigações, independentemente de sentença de encerramento de sua falência, exigência a ser feita para as falências decretadas nos termos da atual lei nº 7.661. Julgado em 22-08-1950 Revista Forense. Novembro-Dezembro, 1952 - pág. 257. vol. 144 EMENTÁRIO FORENSE. Abril, 1953. Ano V. Nº 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prazo, para a prescrição liberatória das obrigações do falido nas falências anteriores à atual lei, conta-se da data em que deveria estar encerrada a falência, e não a partir da em falências anteriores à lei atual a exigência desta sobre a sentença do encerramento.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2026-06-17T15:24:28.541Z</dcterms:created>
  <dcterms:modified xsi:type="dcterms:W3CDTF">2026-06-17T15:24:28.541Z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