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Julgado em: </w:t>
      </w:r>
      <w:r>
        <w:t xml:space="preserve">21/08/1950</w:t>
      </w:r>
    </w:p>
    <w:p/>
    <w:p>
      <w:r>
        <w:t xml:space="preserve">QUANDO SE EXTINGUEM — ENCERRAMENTO DA FALÊNCIA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regime da lei anterior, de nº 5.746, de 1929, não havia necessidade de publicação de sentença encerrando a falência, e isso porque a falência devia ser encerrada "dois anos depois da sua declaração". A jurisprudência consagrou, então, que a prescrição devia ser contada, mesmo para efeitos penais, da data em que a falência deveria ter sido encerrada, isto é, desde que decorrido o prazo para o seu encerramento e sua publicação, para a contagem do início do prazo para a prescrição das obrigações e da ação pessoal. - Mas a nova lei encontrou adquirido o direito do agravante, não só quanto à extinção da ação penal, como em relação às suas obrigações, desde que o prazo corria da data em que deveria estar encerrada a falência, de conformidade com a lei anterior. A lei nova encontrou já findo o prazo para a prescrição, e não, ainda, em curso. A prescrição consumada, como acentuou o insigne Ministro OROZIMBO NONATO ("Diário da Justiça", de 22 de maio de 1943, pág. 2.233), oferece os característicos do direito adquirido. O agravante tem, assim, direito de requerer a extinção de suas obrigações, independentemente de sentença de encerramento de sua falência, exigência a ser feita para as falências decretadas nos termos da atual lei nº 7.661. Julgado em 22-08-1950 Revista Forense. Novembro-Dezembro, 1952 - pág. 257. vol. 144 EMENTÁRIO FORENSE. Abril, 1953. Ano V. Nº 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prazo, para a prescrição liberatória das obrigações do falido nas falências anteriores à atual lei, conta-se da data em que deveria estar encerrada a falência, e não a partir da em falências anteriores à lei atual a exigência desta sobre a sentença do encerramento.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2026-09-10T22:41:55.311Z</dcterms:created>
  <dcterms:modified xsi:type="dcterms:W3CDTF">2026-09-10T22:41:55.311Z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