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RAPHAEL DE BARROS MONTEIRO</w:t>
      </w:r>
    </w:p>
    <w:p>
      <w:r>
        <w:rPr>
          <w:b/>
          <w:bCs/>
        </w:rPr>
        <w:t xml:space="preserve">Julgado em: </w:t>
      </w:r>
      <w:r>
        <w:t xml:space="preserve">05/11/1947</w:t>
      </w:r>
    </w:p>
    <w:p/>
    <w:p>
      <w:r>
        <w:t xml:space="preserve">QUANDO SE EXTINGUEM — ENCERRAMENTO DA FALÊNCIA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extinção das obrigações do falido somente se dá após cinco anos, a partir da sentença de encerramento da falência. Não existindo a decisão, não começa a fluir o prazo. - A falência abre-se e encerra-se por sentença: é assim (lei vigente, arts. 14 e 132), e nunca deixou de ser assim (lei nº 2.024, arts. 16 e 136; lei nº 5.746, arts. 16 e 136). Julgado em 06-11-1947 Revista Forense. Março, 1948 - pg. 207. vol. CXVI. ano XLV. fasc. 537 NO MESMO SENTIDO: Agravo nº 35.476, T. Just. São Paulo, 1ª, Câmara, Relator: Desembargador RAPHAEL DE BARROS MONTEIRO, publ. na "Revista dos Tribunais", pg. 311, vol. 172, ano 37, fasc. 574. EMENTÁRIO FORENSE. Março, 1948. Nº 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2026-09-10T22:40:53.595Z</dcterms:created>
  <dcterms:modified xsi:type="dcterms:W3CDTF">2026-09-10T22:40:53.595Z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