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FALÊNCIA</w:t>
      </w:r>
    </w:p>
    <w:p>
      <w:r>
        <w:rPr>
          <w:i/>
          <w:iCs/>
          <w:color w:val="666666"/>
        </w:rPr>
        <w:t xml:space="preserve">DECRETO-LEI 7.661 DE 21-06-1945</w:t>
      </w:r>
    </w:p>
    <w:p/>
    <w:p>
      <w:r>
        <w:rPr>
          <w:b/>
          <w:bCs/>
        </w:rPr>
        <w:t xml:space="preserve">Julgado em: </w:t>
      </w:r>
      <w:r>
        <w:t xml:space="preserve">12/04/1951</w:t>
      </w:r>
    </w:p>
    <w:p/>
    <w:p>
      <w:r>
        <w:t xml:space="preserve">INSTRUÇÃO DO REQUERIMENTO DE FALÊNCIA COM A RESPECTIVA CERTIDÃO — QUANDO SE DISPENSA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Nem todo requerimento de falência com base no art. 1º é instruído com a certidão de protesto do título. E isto porque, em face do disposto no parág. 1º do art. 4º do estatuto falimentar, pode a falência ser requerida com fundamento em protesto levado a efeito por terceiro, ainda mesmo que o título do requerente não esteja vencido. Julgado em 13-04-1951 Revista dos Tribunais. Julho, 1951 - pág. 294. vol. 192. ano 40. fasc. 614 EMENTÁRIO FORENSE. Dezembro, 1951. Ano III. Nº 37 EMENTA: - Aplicação do art. 2º da Lei de Falências. - Se fundado o pedido de falência em abandono do estabelecimento comercial, desnecessário é o protesto do título de dívida. RESUMO DO ACÓRDÃO: - O protesto do título era perfeitamente dispensado, e nem é possível exigí-lo nos casos em que a falência se caracteriza nos termos do art. 2º da respectiva lei. - O devedor abandonou o estabelecimento, não deixando quem o representasse. - A pessoa que se apresentava, em sua ausência, sem poderes para representá-lo, também abandonou os negócios do proprietário. Esses fatos estão demonstrados, não só pela certidão do oficial como também pelas informações obtidas no local. O Devedor, citado por editais, não compareceu e a pessoa introduzida no estabelecimento também não veio a Juízo para dizer qualquer coisa a respeito. A decisão merece ser confirmada. Julgado em 25-08-1950 Justitia. Janeiro a Março, 1952 - pág. 217. vol. X EMENTÁRIO FORENSE. Agosto, 1953. Ano V. Nº 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1º, em face do art. 4º, parág. 1º, da Lei de Falências.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2026-09-10T23:18:33.828Z</dcterms:created>
  <dcterms:modified xsi:type="dcterms:W3CDTF">2026-09-10T23:18:33.828Z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