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12/04/1951</w:t>
      </w:r>
    </w:p>
    <w:p/>
    <w:p>
      <w:r>
        <w:t xml:space="preserve">INSTRUÇÃO DO REQUERIMENTO DE FALÊNCIA COM A RESPECTIVA CERTIDÃO —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Nem todo requerimento de falência com base no art. 1º é instruído com a certidão de protesto do título. E isto porque, em face do disposto no parág. 1º do art. 4º do estatuto falimentar, pode a falência ser requerida com fundamento em protesto levado a efeito por terceiro, ainda mesmo que o título do requerente não esteja vencido. Julgado em 13-04-1951 Revista dos Tribunais. Julho, 1951 - pág. 294. vol. 192. ano 40. fasc. 614 EMENTÁRIO FORENSE. Dezembro, 1951. Ano III. Nº 37 EMENTA: - Aplicação do art. 2º da Lei de Falências. - Se fundado o pedido de falência em abandono do estabelecimento comercial, desnecessário é o protesto do título de dívida. RESUMO DO ACÓRDÃO: - O protesto do título era perfeitamente dispensado, e nem é possível exigí-lo nos casos em que a falência se caracteriza nos termos do art. 2º da respectiva lei. - O devedor abandonou o estabelecimento, não deixando quem o representasse. - A pessoa que se apresentava, em sua ausência, sem poderes para representá-lo, também abandonou os negócios do proprietário. Esses fatos estão demonstrados, não só pela certidão do oficial como também pelas informações obtidas no local. O Devedor, citado por editais, não compareceu e a pessoa introduzida no estabelecimento também não veio a Juízo para dizer qualquer coisa a respeito. A decisão merece ser confirmada. Julgado em 25-08-1950 Justitia. Janeiro a Março, 1952 - pág. 217. vol. X EMENTÁRIO FORENSE. Agosto, 1953. Ano V. Nº 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1º, em face do art. 4º, parág. 1º, da Lei de Falências.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2026-06-17T14:03:43.029Z</dcterms:created>
  <dcterms:modified xsi:type="dcterms:W3CDTF">2026-06-17T14:03:43.029Z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