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21/12/1949</w:t>
      </w:r>
    </w:p>
    <w:p/>
    <w:p>
      <w:r>
        <w:t xml:space="preserve">QUAL O ADMISSÍVEL — APELAÇÃO NÃO CONHECIDA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manifesto o descabimento do recurso de apelação. Conforme o ensinamento de MIRANDA VALVERDE, citado no parecer da Procuradoria. "O recurso comum, ordinário, admitido pela legislação falimentar, é o agravo; - de petição, se o recurso não impede o desenvolvimento normal do feito principal, - e de instrumento, se a marcha regular de processo possa vir a ser obstada pelo pedido de reforma". - No Direito antigo já era assim, e CARVALHO DE MENDONÇA, salientava que, "com o intuito de acelerar a solução dos recursos das decisões judiciais nos incidentes do processo da falência, a Lei nº 2.024 admitiu, na generalidade dos casos, o agravo, preferindo-o à apelação", e entre exceções à regra que especifica, não está incluída a hipótese dos autos ("Tratado de Direito Comercial Brasileiro", vol. VII, pág. 144). Julgado em 22-12-1949 Jurisprudência do Estado de Santa Catarina. Ano de 1951 - pág. 136 EMENTÁRIO FORENSE. Junho, 1952. Ano IV. Nº 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recurso comum, ordinário, admitido pela legislação, é o de agravo; de petição, se o recurso não impede o desenvolvimento normal de feito principal, é de instrumento, se a marcha regular do processo possa vir a ser obstada pelo pedido de reforma.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2026-06-17T14:04:59.595Z</dcterms:created>
  <dcterms:modified xsi:type="dcterms:W3CDTF">2026-06-17T14:04:59.595Z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