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21/12/1949</w:t>
      </w:r>
    </w:p>
    <w:p/>
    <w:p>
      <w:r>
        <w:t xml:space="preserve">QUAL O ADMISSÍVEL — APELAÇÃO NÃO CONHECIDA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manifesto o descabimento do recurso de apelação. Conforme o ensinamento de MIRANDA VALVERDE, citado no parecer da Procuradoria. "O recurso comum, ordinário, admitido pela legislação falimentar, é o agravo; - de petição, se o recurso não impede o desenvolvimento normal do feito principal, - e de instrumento, se a marcha regular de processo possa vir a ser obstada pelo pedido de reforma". - No Direito antigo já era assim, e CARVALHO DE MENDONÇA, salientava que, "com o intuito de acelerar a solução dos recursos das decisões judiciais nos incidentes do processo da falência, a Lei nº 2.024 admitiu, na generalidade dos casos, o agravo, preferindo-o à apelação", e entre exceções à regra que especifica, não está incluída a hipótese dos autos ("Tratado de Direito Comercial Brasileiro", vol. VII, pág. 144). Julgado em 22-12-1949 Jurisprudência do Estado de Santa Catarina. Ano de 1951 - pág. 136 EMENTÁRIO FORENSE. Junho, 1952. Ano IV. Nº 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comum, ordinário, admitido pela legislação, é o de agravo; de petição, se o recurso não impede o desenvolvimento normal de feito principal, é de instrumento, se a marcha regular do processo possa vir a ser obstada pelo pedido de reforma.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2026-10-26T04:14:31.605Z</dcterms:created>
  <dcterms:modified xsi:type="dcterms:W3CDTF">2026-10-26T04:14:31.605Z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