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FALÊNCIA</w:t>
      </w:r>
    </w:p>
    <w:p>
      <w:r>
        <w:rPr>
          <w:i/>
          <w:iCs/>
          <w:color w:val="666666"/>
        </w:rPr>
        <w:t xml:space="preserve">DECRETO-LEI 7.661 DE 21-06-1945</w:t>
      </w:r>
    </w:p>
    <w:p/>
    <w:p>
      <w:r>
        <w:rPr>
          <w:b/>
          <w:bCs/>
        </w:rPr>
        <w:t xml:space="preserve">Julgado em: </w:t>
      </w:r>
      <w:r>
        <w:t xml:space="preserve">24/05/1948</w:t>
      </w:r>
    </w:p>
    <w:p/>
    <w:p>
      <w:r>
        <w:t xml:space="preserve">EXTINÇÃO DE OBRIGAÇÕES DO FALIDO — INADMISSIBILIDADE DO RECURSO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Dispõe o art. 814 do Cód. de Processo, sem restrições: "O direito de recorrer da sentença competirá a quem for parte na causa, ou, quando expresso em lei, no órgão do Ministério Público". - Neste caso, as partes são os falidos e seus credores, e, de preferência os impugnantes, os quais podiam utilizar-se do recurso cabível. Não se invoque o disposto no art. 815 do Código, porque esse preceito alude a terceiros prejudicados. - Ao órgão do Ministério Público, com obrigação de opinar, não deu a lei a necessária competência para recorrer. - Nos processos de falência essa orientação mais se preconiza posto que a ação do Ministério Público e limitada, pois não exerce atividade tutelar sobre os credores, que podem transigir ou renunciar seus direitos. - Na falências, entendem CARVALHO DE MENDONÇA, e outros, a interferência do Ministério Público deveria cifrar-se ao aspecto penal, deixando-se o processo propriamente dito de falência, nas suas fases diferentes à orientação do juiz processante e das partes interessadas. - Certo é que, em outros casos admite-se o recurso do órgão do Ministério Público, como o do Curador Geral, mas isto se dá quando este haja como órgão tutelar e mesmo representativo do titular do direito, ausente ou incapaz. Julgado em 25-05-1948 Revista dos Tribunais. Setembro, 1948 - pg. 310. vol. 175. ano 37. fasc. 580 EMENTÁRIO FORENSE. Ano I. Nº 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(sem ementa explícita)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2026-10-26T04:38:03.217Z</dcterms:created>
  <dcterms:modified xsi:type="dcterms:W3CDTF">2026-10-26T04:38:03.217Z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