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Julgado em: </w:t>
      </w:r>
      <w:r>
        <w:t xml:space="preserve">16/11/1967</w:t>
      </w:r>
    </w:p>
    <w:p/>
    <w:p>
      <w:r>
        <w:t xml:space="preserve">PROVA DA QUALIDADE DE COMERCIANTE — PRESUNÇÃO DE "JURIS TANTUM"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pedido de falência, fundado em cambial vencida, protestada e não paga, afinal indeferido por não ser mais comerciante o devedor. - Agravou o vencido pedindo o deferimento de pedido ou, quando menos, a redução de verba honorária. O recurso tramitou regulamento, opinando a Procuradoria da Justiça pelo não provimento. - Merece subsistir, por seus próprios fundamentos, a sentença recorrida, salvo quanto à taxa dos honorários advocatícios. - Não estava o juiz obrigado a conceder ao agravado o qüinqüídio a que alude o § 3º do artigo 11 do Decreto-lei nº 7.661, de 1945, que não fôra pedido, nem era necessário, em face da documentação exibida. - No mais, é farta a documentação, expedida por repartições fiscais, que comprovam a cessação do exercício do comércio, pelo requerido, cerca de dois anos e meio antes da emissão do título que instrui a inicial. - A inscrição da firma no Registro do Comércio não cria mais que uma presunção "juris tantum", vencível através da demonstração de que cessou o exercício do comércio. - Impõe-se, todavia, a redução da verba honorária para 10% sobre o valor do pedido, taxa que melhor se ajusta às circunstâncias do caso. Julgado em 17-11-1967 Revista dos Tribunais. Fevereiro, 1968 - Pág. 176 - Vol. 388 EMENTÁRIO FORENSE. Outubro, 1968. Ano XX. Nº 239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inscrição da firma no Registro do Comércio cria apenas uma presunção "juris tantum" da qualidade de comerciante, vencível através da demonstração de que houve cessação do exercício do comércio.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2026-10-26T04:37:27.157Z</dcterms:created>
  <dcterms:modified xsi:type="dcterms:W3CDTF">2026-10-26T04:37:27.157Z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