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11/11/1956</w:t>
      </w:r>
    </w:p>
    <w:p/>
    <w:p>
      <w:r>
        <w:t xml:space="preserve">ALUGUEIS RECEBIDOS PELO FALIDO — SE SÃO RESTITUÍVEIS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Evidentemente, o parecer do Dr. Procurador Geral da República teve de atender a circunstância especialíssima de haver menores impúberes interessados, no caso. Entretanto, a jurisprudência do Supremo Tribunal, é no sentido da interpretação rigorosa do texto da Lei de Falências entendendo que, para a restituição de bens confiados à massa, é indispensável a individuação. E em se tratando de dinheiro, essa individuação deverá ser pelo número do papel moeda ou pelo peso do metal, conforme o caso. - É preciso atender que a nova legislação, como esclarece MIRANDA VALVERDE, representa uma reação contra a liberalidade dos tribunais na vigência da antiga lei, em se tratando de reivindicação. Os tribunais deram tal elastério à reivindicação que pouco sobrava para os credores habilitados. Este não é o sentido do instituto da falência. Atribui-se aos credores tudo que estiver em posse do falido, salvo condições excepcionais. - Dado provimento ao recurso para negar a restituição. Julgado em 12-11-1956 Diário da Justiça. Agosto, 1957 - pág. 2.036 - Ap. ao Nº 184 EMENTÁRIO FORENSE. Julho, 1958. Ano X. Nº 116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são restituíveis alugueres recebidos pelo falido, antes da falência, em virtude de mandado. A nova lei, tornou mais explícitos os casos de restituição, outrora impropriamente denominada reivindicação, exigindo individuação precisa da coisa reclamada. O art. 77 não deixa margem a interpretação de equidade que o domínio de leis anteriores eram motivo para desarrazoado empobrecimento da massa falida.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2026-09-11T01:07:34.055Z</dcterms:created>
  <dcterms:modified xsi:type="dcterms:W3CDTF">2026-09-11T01:07:34.056Z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