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FALÊNCIA</w:t>
      </w:r>
    </w:p>
    <w:p>
      <w:r>
        <w:rPr>
          <w:i/>
          <w:iCs/>
          <w:color w:val="666666"/>
        </w:rPr>
        <w:t xml:space="preserve">DECRETO-LEI 7.661 DE 21-06-1945</w:t>
      </w:r>
    </w:p>
    <w:p/>
    <w:p>
      <w:r>
        <w:rPr>
          <w:b/>
          <w:bCs/>
        </w:rPr>
        <w:t xml:space="preserve">Julgado em: </w:t>
      </w:r>
      <w:r>
        <w:t xml:space="preserve">20/03/1949</w:t>
      </w:r>
    </w:p>
    <w:p/>
    <w:p>
      <w:r>
        <w:t xml:space="preserve">LANÇAMENTO DO PREÇO DAS MESMAS EM CONTA CORRENTE — CIRCUNSTÂNCIA NÃO IMPEDITIVA DA RESTITUIÇÃO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anterior Lei de falências, art. 138, § 2º, 2ª alínea, preceituava: "cessará a reivindicação se as mercadorias tiverem sido vendidas e o preço creditado em conta corrente, por autorização ou ordem do dono". Esta alínea suprimiu-a a Lei de falências em vigor, ao que se vê, a supressão se operou pela inutilidade do texto, porque, claro, se o comitente autoriza levar a seu crédito em conta corrente, nos livros do comissário, o preço das mercadorias consignadas, opera-se, evidentemente, uma novação objetiva, extinguindo-se, de conseguinte, entre as partes, as relações de comitente a comissário. No caso concreto, não houve qualquer ordem ou autorização do dono a esse respeito. E sem esse expresso consentimento, carece de qualquer significação jurídica a contabilização que o comissário aponte sua, faça nos seus livros, das vendas das mercadorias consignadas. - Desta sorte, sobrevindo a concordata do comissário, o comitente, fundada no contrato de consignação, tem o direito de reclamar a restituição das mercadorias, ou, se já vendidas, como no caso, o preço que as substituiu, como está declarado no art. 78, § 2º, da Lei de Falências. - Vingasse a argumentação, e ficaria ao arbítrio ou à malícia do comissário, em véspera de concordata, ou de falência, pelo lançamento dos preços apurados nas vendas das mercadorias consignadas, nos livros de sua escrituração, a crédito do comitente, fazer a este passar da situação que lhe assina o direito, decorrente do contrato de comissão, à posição de simples credor quirografário. Não pode consentir o direito que uma parte, por ato unilateral, altera a relação jurídica oriunda de um contrato, sem o consentimento da outra parte. Julgado em 21-03-1949 Revista Forense. Junho,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78, §§ 1º e 2º, da Lei de falências. - Não impede a restituição da mercadoria consignada o lançamento do seu preço em conta-corrente, sem consentimento expresso do comitente.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2026-10-26T03:23:42.317Z</dcterms:created>
  <dcterms:modified xsi:type="dcterms:W3CDTF">2026-10-26T03:23:42.317Z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