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FALÊNCIA</w:t>
      </w:r>
    </w:p>
    <w:p>
      <w:r>
        <w:rPr>
          <w:i/>
          <w:iCs/>
          <w:color w:val="666666"/>
        </w:rPr>
        <w:t xml:space="preserve">DECRETO-LEI 7.661 DE 21-06-1945</w:t>
      </w:r>
    </w:p>
    <w:p/>
    <w:p>
      <w:r>
        <w:rPr>
          <w:b/>
          <w:bCs/>
        </w:rPr>
        <w:t xml:space="preserve">Julgado em: </w:t>
      </w:r>
      <w:r>
        <w:t xml:space="preserve">15/09/1960</w:t>
      </w:r>
    </w:p>
    <w:p/>
    <w:p>
      <w:r>
        <w:t xml:space="preserve">REEMBOLSO EM DINHEIRO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já houve alienação, a solução só podia ser aquela inclusão no quadro de credores quirografários, pelo valor da dívida. - O reembolso em dinheiro não é possível. O próprio parágrafo segundo do art. 76 da Lei de Falências é expresso, permitindo a restituição se as coisas ainda não foram alienadas pela massa. E a cabeça do artigo 76, também, tala em restituição de coisa arrecadada, mas em "poder do falido". Coisas alienadas e não mais em poder do requerido não são restituíveis. A credora assiste o direito, tão-só, de inclusão no quadro de credores, em consonância, com o parágrafo quinto do artigo 77 da Lei de Quebras. - O "reembolso em dinheiro", a que alude o artigo 78, parágrafo primeiro, só é possível quando o "pedido de restituição" é anterior à "disponibilidade da coisa". É que a lei, de modo imperativo, "suspendeu a disponibilidade", e, uma vez alienada com transgressão da lei, impõe-se a "restituição do preço". Não, porém, se a coisa for alienada antes do pedido de restituição, como no caso. É o que já assentou a jurisprudência. É o pedido de restituição que suspende a disponibilidade e não o pedido de concordata, dí-lo expressamente o artigo 78 (cf. "Rev. os Tribs.", vols. 273/400; 239/309;229/585; 217/350; 177/824; 242/284 e 171/701). E, como já foi decidido pela Egrégia Primeira Câmara Civil, o reembolso do valor estimado ou do preço só é possível na hipótese da "coisa alienada pela massa" (cf. "Rev. dos Tribunais.", vol. 242/284), assim mesmo se a alienação foi feita depois de suspensa a disponibilidade, a saber, depois do pedido de restituição. A lei falimentar distingue as duas situações: "pedido de restituição" (artigo 78, "caput") e "tempo de restituição" (artigo 78, "caput") e "tempo de restituição" (artigo 78, parágrafo segundo)... Julgado em 16-09-1960 Revista dos Tribunais. Abril, 1961 - pág. 327. vol. 306 EMENTÁRIO FORENSE. Dezembro, 1961. Ano XIII. Nº 157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parágrafo segundo do artigo 76 da Lei de Falências. - O reembolso em dinheiro só ocorre quando o pedido de restituição de mercadoria vendida a comerciante, que após a venda pediu concordata, é anterior à disponibilidade da coisa.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2026-09-10T22:14:52.932Z</dcterms:created>
  <dcterms:modified xsi:type="dcterms:W3CDTF">2026-09-10T22:14:52.932Z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