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06/08/1950</w:t>
      </w:r>
    </w:p>
    <w:p/>
    <w:p>
      <w:r>
        <w:t xml:space="preserve">NECESSIDADE DE QUE SEJA REAL E NÃO MERAMENTE SIMBÓLICA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texto do parág. 2º, do art. 76 da Lei de falências, a interpretação dada se mostra inquestionavelmente lógica, ao proclamar que aí a expressão "entregue" tem um sentido especial, notando que não traduz a tradição simbólica, mas se restringe à tradição. E isso é inobscurecível. - À margem, porém, da tese, desenvolve o julgado argumentos de prol, exemplificando com outras hipóteses onde se entrelaçam as formas de tradição, real e simbólica, sem, contudo, o que se sustenta sem procedência a vigência do art. 199 do Código Comercial; admite este as duas modalidades da tradição, real ou simbólica, operando ambas a entrega da coisa vendida. Esses efeitos jurídicos, não os negou o acórdão, apenas distinguindo o sentido especial da expressão "entregue" no texto do parág. 2º, do art. 76, o qual objetiva a tradição real, que se traduz na transmissão da posse material, do poder de dispor fisicamente da coisa. Não houve, de conseguinte, ofensa à letra do art. 199 do Código Comercial. - A invocação ao disposto na lei nº 187, parág. 4º do art. 1º, volve-se ao entendimento dado ao parág. 2º do art. 76, citado, no exigir-se a entrega real, quando, ao contrário, aquele inciso veda a emissão de duplicata a que não corresponda a venda efetiva de mercadorias entregues, real ou simbolicamente, e acompanhadas da respectiva fatura. Julgado em 07-08-1950 Revista Forense. Janeiro, 1951 - pg. 94. vol. CXXXIII. ano XLVIII. fasc. 571 EMENTÁRIO FORENSE. Maio, 1951. Ano III. Nº 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parág. 2º do art. 76 da Lei de falências. - Para o efeito da restituição de mercadoria na falência, a entrega tem que ser real e não meramente simbólica.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2026-10-26T03:03:09.639Z</dcterms:created>
  <dcterms:modified xsi:type="dcterms:W3CDTF">2026-10-26T03:03:09.639Z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