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FALÊNCIA</w:t>
      </w:r>
    </w:p>
    <w:p>
      <w:r>
        <w:rPr>
          <w:i/>
          <w:iCs/>
          <w:color w:val="666666"/>
        </w:rPr>
        <w:t xml:space="preserve">DECRETO-LEI 7.661 DE 21-06-1945</w:t>
      </w:r>
    </w:p>
    <w:p/>
    <w:p>
      <w:r>
        <w:rPr>
          <w:b/>
          <w:bCs/>
        </w:rPr>
        <w:t xml:space="preserve">Julgado em: </w:t>
      </w:r>
      <w:r>
        <w:t xml:space="preserve">06/08/1950</w:t>
      </w:r>
    </w:p>
    <w:p/>
    <w:p>
      <w:r>
        <w:t xml:space="preserve">NECESSIDADE DE QUE SEJA REAL E NÃO MERAMENTE SIMBÓLICA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ao texto do parág. 2º, do art. 76 da Lei de falências, a interpretação dada se mostra inquestionavelmente lógica, ao proclamar que aí a expressão "entregue" tem um sentido especial, notando que não traduz a tradição simbólica, mas se restringe à tradição. E isso é inobscurecível. - À margem, porém, da tese, desenvolve o julgado argumentos de prol, exemplificando com outras hipóteses onde se entrelaçam as formas de tradição, real e simbólica, sem, contudo, o que se sustenta sem procedência a vigência do art. 199 do Código Comercial; admite este as duas modalidades da tradição, real ou simbólica, operando ambas a entrega da coisa vendida. Esses efeitos jurídicos, não os negou o acórdão, apenas distinguindo o sentido especial da expressão "entregue" no texto do parág. 2º, do art. 76, o qual objetiva a tradição real, que se traduz na transmissão da posse material, do poder de dispor fisicamente da coisa. Não houve, de conseguinte, ofensa à letra do art. 199 do Código Comercial. - A invocação ao disposto na lei nº 187, parág. 4º do art. 1º, volve-se ao entendimento dado ao parág. 2º do art. 76, citado, no exigir-se a entrega real, quando, ao contrário, aquele inciso veda a emissão de duplicata a que não corresponda a venda efetiva de mercadorias entregues, real ou simbolicamente, e acompanhadas da respectiva fatura. Julgado em 07-08-1950 Revista Forense. Janeiro, 1951 - pg. 94. vol. CXXXIII. ano XLVIII. fasc. 571 EMENTÁRIO FORENSE. Maio, 1951. Ano III. Nº 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parág. 2º do art. 76 da Lei de falências. - Para o efeito da restituição de mercadoria na falência, a entrega tem que ser real e não meramente simbólica.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2026-09-11T00:06:57.116Z</dcterms:created>
  <dcterms:modified xsi:type="dcterms:W3CDTF">2026-09-11T00:06:57.116Z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