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Julgado em: </w:t>
      </w:r>
      <w:r>
        <w:t xml:space="preserve">06/08/1950</w:t>
      </w:r>
    </w:p>
    <w:p/>
    <w:p>
      <w:r>
        <w:t xml:space="preserve">NECESSIDADE DE QUE SEJA REAL E NÃO MERAMENTE SIMBÓLICA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Quanto ao texto do parág. 2º, do art. 76 da Lei de falências, a interpretação dada se mostra inquestionavelmente lógica, ao proclamar que aí a expressão "entregue" tem um sentido especial, notando que não traduz a tradição simbólica, mas se restringe à tradição. E isso é inobscurecível. - À margem, porém, da tese, desenvolve o julgado argumentos de prol, exemplificando com outras hipóteses onde se entrelaçam as formas de tradição, real e simbólica, sem, contudo, o que se sustenta sem procedência a vigência do art. 199 do Código Comercial; admite este as duas modalidades da tradição, real ou simbólica, operando ambas a entrega da coisa vendida. Esses efeitos jurídicos, não os negou o acórdão, apenas distinguindo o sentido especial da expressão "entregue" no texto do parág. 2º, do art. 76, o qual objetiva a tradição real, que se traduz na transmissão da posse material, do poder de dispor fisicamente da coisa. Não houve, de conseguinte, ofensa à letra do art. 199 do Código Comercial. - A invocação ao disposto na lei nº 187, parág. 4º do art. 1º, volve-se ao entendimento dado ao parág. 2º do art. 76, citado, no exigir-se a entrega real, quando, ao contrário, aquele inciso veda a emissão de duplicata a que não corresponda a venda efetiva de mercadorias entregues, real ou simbolicamente, e acompanhadas da respectiva fatura. Julgado em 07-08-1950 Revista Forense. Janeiro, 1951 - pg. 94. vol. CXXXIII. ano XLVIII. fasc. 571 EMENTÁRIO FORENSE. Maio, 1951. Ano III. Nº 30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parág. 2º do art. 76 da Lei de falências. - Para o efeito da restituição de mercadoria na falência, a entrega tem que ser real e não meramente simbólica.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2026-06-17T13:56:52.728Z</dcterms:created>
  <dcterms:modified xsi:type="dcterms:W3CDTF">2026-06-17T13:56:52.728Z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