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FALÊNCIA</w:t>
      </w:r>
    </w:p>
    <w:p>
      <w:r>
        <w:rPr>
          <w:i/>
          <w:iCs/>
          <w:color w:val="666666"/>
        </w:rPr>
        <w:t xml:space="preserve">DECRETO-LEI 7.661 DE 21-06-1945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Julgado em: </w:t>
      </w:r>
      <w:r>
        <w:t xml:space="preserve">22/09/1959</w:t>
      </w:r>
    </w:p>
    <w:p/>
    <w:p>
      <w:r>
        <w:t xml:space="preserve">REQUERIMENTO — PRAZO - CONTAGEM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Realmente existe divergência jurisprudencial em torno do entendimento do artigo 166 combinado com o artigo 76, parágrafo segundo, da Lei de Falências, nos acórdãos trazidos a confronto a por isso se conhece do recurso. Nega-se-lhe, porém, provimento, pois a afirmação do acórdão recorrido reflete até mesmo um princípio de moralidade que convém resguardar, em todos os pedidos de concordata e confissões de falência. - O prazo para requerer a restituição de mercadorias conta-se a partir da data da distribuição do pedido da concordata em juízo e não da data que o concordatário tenha arbitrariamente lançado em seu requerimento. Evitam-se abusos, conluios fraudulentos e este é o entendimento dominante na jurisprudência nacional. Julgado em 23-09-1959 Diário da Justiça. Setembro, 1960 - pág. 507 - Ap. ao Nº 115 EMENTÁRIO FORENSE. Janeiro, 1961. Ano XIII. Nº 146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dos artigos 166 e 76, parágrafo segundo, combinados, da Lei de Falências. - O prazo para requerer a restituição de mercadorias conta-se a partir da data da distribuição do requerimento da concordata em juízo, e não da data que o concordatário tenha arbitrariamente lançado em seu pedido.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2026-09-10T22:15:22.985Z</dcterms:created>
  <dcterms:modified xsi:type="dcterms:W3CDTF">2026-09-10T22:15:22.986Z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