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24/09/1959</w:t>
      </w:r>
    </w:p>
    <w:p/>
    <w:p>
      <w:r>
        <w:t xml:space="preserve">VENDA A CRÉDITO COM RESERVA DE DOMÍNIO — PROCESSAMENTO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pedido de restituição de duas prensas viradeiras hidráulicas, que foram vendidas com garantia de reserva de domínio e entregues à falida, pela importância de Cr$ 1.430.000,00, da qual a agravante recebera Cr$ 140.000,00, sendo que, do restante do preço, a ser paga em dez prestações mensais nada mais recebera. - O síndico impugnou a pretensão alegando que a venda fora efetuada mediante "simples emissão de duplicatas de fatura, não se falando, nem de leve, em reserva de domínio. Que, assim, de nenhum valor, com relação à massa, o contrato... uma vez que foi assinado em data posterior ao da venda das aludidas máquinas. - Réplica da agravante, argumentado que nas vendas com reserva de domínio, o contrato não se completa pela simples tradição. Persiste uma condição suspensiva, reservando-se o vendedor, embora entregue a coisa ao comprador, o domínio sobre a mesma, até que se pague a última prestação. O que caracteriza realmente a transação, em todos os seus pormenores, é o contrato assinado entre as partes, e não a documentação de natureza fiscal junta pela impugnante aos autos. A circunstância de ter a vendedora, numa demonstração de confiança e com toda sua boa fé, entregue a mercadoria à compradora, antes mesmo de lhe ser por esta restituído, devidamente assinado, o contrato de compra e venda respectivo, em nada poderia invalidar o ajuste de reserva de domínio, em que se não encontra qualquer vício ou defeito de consentimento, nem prejudicava a terceiro. - ......................................... - De acordo com o parecer da douta Procuradoria Geral, de toda conveniência é que o pedido seja processado com o curso ordinári o, nos termos dos artigos 344 e seus parágrafos do Código de Processo Civil, combinado com os de nsº 44, inciso IV e 76 da Lei de Falências. - Anularam a sentença. Julgado em 25-09-1959 Diário da Justiça. Fevereiro, 1961 - pág. 136 - Ap. ao Nº 43 EMENTÁRIO FORENSE. Maio, 1961. Ano XIII. Nº 150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 restituição de mercadoria vendida a crédito, com pacto de reserva de domínio, deverá ser processado segundo o curso do artigo 344 e seus parágrafos do Código de Processo Civil combinado com os artigo 44, IV, e 76 da Lei de Falências.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2026-09-10T22:14:51.705Z</dcterms:created>
  <dcterms:modified xsi:type="dcterms:W3CDTF">2026-09-10T22:14:51.705Z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