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04/09/1960</w:t>
      </w:r>
    </w:p>
    <w:p/>
    <w:p>
      <w:r>
        <w:t xml:space="preserve">QUANDO CABE A RESTITUIÇÃO DO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 auto... que a mercadoria já havia sido consumida da propositura da restituição, a qual por isso deve ser julgada improcedente. - Realmente, para o deferimento do pedido, necessário seria que a mercadoria não houvesse ainda sido alienada pela massa no momento do pedido (art. 76, parágrafo segundo, da Lei de Falências). - O artigo 78, parágrafo segundo, da mesma lei só é aplicável quando a alienação ocorre posteriormente à propositura da restituição. - Em face ao exposto: Julgou improcedente o efeito determinando a inclusão do crédito como quirografário. (Da sentença confirmada do Juiz GRACCHO AURÉLIO DE SÁ VIANNA PEREIRA DE VASCONCELLOS). Julgado em 05-09-1960 Diário da Justiça. Outubro, 1963 - pág. 929 - Ap. ao Nº 197 EMENTÁRIO FORENSE. Fevereiro, 1964. Ano XVI. Nº 183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no caso de coisa vendida depois do pedido de restituição é que o reclamante tem direito ao respectivo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2026-10-26T03:08:16.294Z</dcterms:created>
  <dcterms:modified xsi:type="dcterms:W3CDTF">2026-10-26T03:08:16.294Z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