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CONCORDATA PREVENTIVA</w:t>
      </w:r>
    </w:p>
    <w:p>
      <w:r>
        <w:rPr>
          <w:i/>
          <w:iCs/>
          <w:color w:val="666666"/>
        </w:rPr>
        <w:t xml:space="preserve">RESTITUIÇÃO EM DINHEIRO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04/09/1960</w:t>
      </w:r>
    </w:p>
    <w:p/>
    <w:p>
      <w:r>
        <w:t xml:space="preserve">QUANDO CABE A RESTITUIÇÃO DO PREÇO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Verifica-se do auto... que a mercadoria já havia sido consumida da propositura da restituição, a qual por isso deve ser julgada improcedente. - Realmente, para o deferimento do pedido, necessário seria que a mercadoria não houvesse ainda sido alienada pela massa no momento do pedido (art. 76, parágrafo segundo, da Lei de Falências). - O artigo 78, parágrafo segundo, da mesma lei só é aplicável quando a alienação ocorre posteriormente à propositura da restituição. - Em face ao exposto: Julgou improcedente o efeito determinando a inclusão do crédito como quirografário. (Da sentença confirmada do Juiz GRACCHO AURÉLIO DE SÁ VIANNA PEREIRA DE VASCONCELLOS). Julgado em 05-09-1960 Diário da Justiça. Outubro, 1963 - pág. 929 - Ap. ao Nº 197 EMENTÁRIO FORENSE. Fevereiro, 1964. Ano XVI. Nº 183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Só no caso de coisa vendida depois do pedido de restituição é que o reclamante tem direito ao respectivo preço.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2026-09-10T22:10:45.851Z</dcterms:created>
  <dcterms:modified xsi:type="dcterms:W3CDTF">2026-09-10T22:10:45.851Z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