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28/09/1950</w:t>
      </w:r>
    </w:p>
    <w:p/>
    <w:p>
      <w:r>
        <w:t xml:space="preserve">FIXAÇÃO ALÉM DO LIMITE LEGAL — QUANDO SE TORNA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presente, surge sem relevo a particularidade da investigação de dever ser pago o salário do perito pelo que preceitua a lei falimentar ou pelo Regimento de Custas Judiciais do Estado. - Todavia, ninguém ignora ser a lei de falências uma lei absorvente, formando seu sistema com princípios tomados dos mais diversos ramos do direito: e, ao mesmo tempo, uma lei mista - substantiva e adjetiva - dispondo, outrossim, relativamente ao aspecto econômico da administração da massa falida, aspecto este em que se incluem as remunerações aos que trabalham para essa administração, abrangendo, de conseguinte, a remuneração do perito designado pelo síndico administrador da massa falida, para proceder ao exame da escrituração do falido, na forma do inciso V do art. 63 da lei falencial. - Desta maneira, em que pese à opinião do ilustre Dr. Juiz de Direito, a remuneração desse perito contador designado pelo síndico há de ser regulada, em âmbito nacional, pela lei falimentar. - Contudo, seu relevo, nesta conjuntura processual, esmiuçar se o pagamento dos honorários do perito será regrado pelo estatuto de falências ou pelo Regimento de Custas Judiciais do Estado. Porquanto, ambos essa lei e esse Regimento, no inciso I do art. 212 e na Observação da 1ª Tabela XXVI, respectivamente, permitem, facultam e autorizam a fixação do salário do perito além do máximo previsto em lei, tratando-se de trabalho excepcional, exame complexo ou que exija demorada verificação. Julgado em 29-09-1950 Paraná Judiciário. Novembro-Dezembro, 1950 - pg. 240. vol. 52. fasc. V e VI EMENTÁRIO FORENSE. Fevereiro, 1951. Ano III. Nº 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212 da Lei de Falências. - A lei de falência limita o salário do perito em Cr$ 1.000,00, mas, em se tratando de trabalho excepcional, se a massa comportar e o juiz autorizar, pode o síndico ajustar o salário além daquele limite.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2026-06-17T14:06:37.464Z</dcterms:created>
  <dcterms:modified xsi:type="dcterms:W3CDTF">2026-06-17T14:06:37.464Z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